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 w:line="222" w:lineRule="auto"/>
        <w:jc w:val="center"/>
        <w:rPr>
          <w:rFonts w:hint="eastAsia" w:ascii="宋体" w:hAnsi="宋体" w:eastAsia="宋体" w:cs="宋体"/>
          <w:b/>
          <w:bCs/>
          <w:spacing w:val="4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pacing w:val="4"/>
          <w:sz w:val="36"/>
          <w:szCs w:val="36"/>
          <w:lang w:val="en-US" w:eastAsia="zh-CN"/>
        </w:rPr>
        <w:t>2022年西湖区象湖污水处理厂收集范围排水单元改造及水环境提升工程</w:t>
      </w:r>
      <w:r>
        <w:rPr>
          <w:rFonts w:hint="eastAsia" w:ascii="宋体" w:hAnsi="宋体" w:eastAsia="宋体" w:cs="宋体"/>
          <w:b/>
          <w:bCs/>
          <w:spacing w:val="4"/>
          <w:sz w:val="36"/>
          <w:szCs w:val="36"/>
        </w:rPr>
        <w:t>绩效报告</w:t>
      </w:r>
    </w:p>
    <w:p>
      <w:pPr>
        <w:spacing w:before="62" w:line="222" w:lineRule="auto"/>
        <w:ind w:firstLine="2234" w:firstLineChars="700"/>
        <w:rPr>
          <w:rFonts w:hint="eastAsia" w:ascii="宋体" w:hAnsi="宋体" w:eastAsia="宋体" w:cs="宋体"/>
          <w:b/>
          <w:bCs/>
          <w:spacing w:val="4"/>
          <w:sz w:val="31"/>
          <w:szCs w:val="31"/>
        </w:rPr>
      </w:pPr>
    </w:p>
    <w:p>
      <w:pPr>
        <w:spacing w:before="62" w:line="222" w:lineRule="auto"/>
        <w:ind w:firstLine="630" w:firstLineChars="300"/>
        <w:rPr>
          <w:rFonts w:hint="eastAsia" w:ascii="宋体" w:hAnsi="宋体" w:eastAsia="宋体" w:cs="宋体"/>
        </w:rPr>
      </w:pPr>
    </w:p>
    <w:p>
      <w:pPr>
        <w:spacing w:line="351" w:lineRule="auto"/>
        <w:rPr>
          <w:rFonts w:hint="eastAsia" w:ascii="宋体" w:hAnsi="宋体" w:eastAsia="宋体" w:cs="宋体"/>
        </w:rPr>
      </w:pPr>
    </w:p>
    <w:p>
      <w:pPr>
        <w:spacing w:before="100" w:line="222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pacing w:val="-17"/>
          <w:sz w:val="28"/>
          <w:szCs w:val="28"/>
        </w:rPr>
        <w:t>一</w:t>
      </w:r>
      <w:r>
        <w:rPr>
          <w:rFonts w:hint="eastAsia" w:ascii="宋体" w:hAnsi="宋体" w:eastAsia="宋体" w:cs="宋体"/>
          <w:spacing w:val="-14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spacing w:val="-17"/>
          <w:sz w:val="28"/>
          <w:szCs w:val="28"/>
        </w:rPr>
        <w:t>、基本情况</w:t>
      </w:r>
    </w:p>
    <w:p>
      <w:pPr>
        <w:spacing w:before="287" w:line="222" w:lineRule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pacing w:val="17"/>
          <w:sz w:val="28"/>
          <w:szCs w:val="28"/>
        </w:rPr>
        <w:t>(</w:t>
      </w:r>
      <w:r>
        <w:rPr>
          <w:rFonts w:hint="eastAsia" w:ascii="宋体" w:hAnsi="宋体" w:eastAsia="宋体" w:cs="宋体"/>
          <w:b w:val="0"/>
          <w:bCs w:val="0"/>
          <w:spacing w:val="-84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pacing w:val="17"/>
          <w:sz w:val="28"/>
          <w:szCs w:val="28"/>
        </w:rPr>
        <w:t>一)项目概况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620" w:lineRule="exact"/>
        <w:ind w:left="0" w:leftChars="0" w:firstLine="584" w:firstLineChars="200"/>
        <w:jc w:val="left"/>
        <w:rPr>
          <w:rFonts w:hint="eastAsia" w:ascii="宋体" w:hAnsi="宋体" w:eastAsia="宋体" w:cs="宋体"/>
          <w:spacing w:val="6"/>
          <w:sz w:val="28"/>
          <w:szCs w:val="28"/>
        </w:rPr>
      </w:pPr>
      <w:r>
        <w:rPr>
          <w:rFonts w:hint="eastAsia" w:ascii="宋体" w:hAnsi="宋体" w:eastAsia="宋体" w:cs="宋体"/>
          <w:spacing w:val="6"/>
          <w:sz w:val="28"/>
          <w:szCs w:val="28"/>
        </w:rPr>
        <w:t>根据招标文件，本项目建设范围为朝阳新城建成区，即象湖污水厂服务范围内的分流制区域， 灌婴路、 昌南大道、沿江南大道、 象湖西堤合围区域，面积约15.65km2</w:t>
      </w:r>
      <w:r>
        <w:rPr>
          <w:rFonts w:hint="eastAsia" w:ascii="宋体" w:hAnsi="宋体" w:eastAsia="宋体" w:cs="宋体"/>
          <w:spacing w:val="6"/>
          <w:sz w:val="28"/>
          <w:szCs w:val="28"/>
          <w:lang w:eastAsia="zh-CN"/>
        </w:rPr>
        <w:t>。主要工程内容：一是市政污水管网的修复、雨污分流改造和管网空白区新建工作；二是排水户管网整治。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620" w:lineRule="exact"/>
        <w:ind w:left="0" w:leftChars="0"/>
        <w:jc w:val="left"/>
        <w:rPr>
          <w:rFonts w:hint="eastAsia" w:ascii="宋体" w:hAnsi="宋体" w:eastAsia="宋体" w:cs="宋体"/>
          <w:spacing w:val="6"/>
          <w:sz w:val="28"/>
          <w:szCs w:val="28"/>
        </w:rPr>
      </w:pPr>
      <w:r>
        <w:rPr>
          <w:rFonts w:hint="eastAsia" w:ascii="宋体" w:hAnsi="宋体" w:eastAsia="宋体" w:cs="宋体"/>
          <w:spacing w:val="6"/>
          <w:sz w:val="28"/>
          <w:szCs w:val="28"/>
        </w:rPr>
        <w:t>(二)本项目建设单位为南昌市西湖区城乡建设局，建设资金来自一般债券资金，不足部分由区财政承担。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620" w:lineRule="exact"/>
        <w:ind w:left="0" w:leftChars="0"/>
        <w:jc w:val="left"/>
        <w:rPr>
          <w:rFonts w:hint="eastAsia" w:ascii="宋体" w:hAnsi="宋体" w:eastAsia="宋体" w:cs="宋体"/>
          <w:spacing w:val="6"/>
          <w:sz w:val="28"/>
          <w:szCs w:val="28"/>
        </w:rPr>
      </w:pPr>
      <w:r>
        <w:rPr>
          <w:rFonts w:hint="eastAsia" w:ascii="宋体" w:hAnsi="宋体" w:eastAsia="宋体" w:cs="宋体"/>
          <w:spacing w:val="6"/>
          <w:sz w:val="28"/>
          <w:szCs w:val="28"/>
        </w:rPr>
        <w:t>(三)本项目总投资</w:t>
      </w:r>
      <w:r>
        <w:rPr>
          <w:rFonts w:hint="eastAsia" w:ascii="宋体" w:hAnsi="宋体" w:eastAsia="宋体" w:cs="宋体"/>
          <w:spacing w:val="6"/>
          <w:sz w:val="28"/>
          <w:szCs w:val="28"/>
          <w:lang w:val="en-US" w:eastAsia="zh-CN"/>
        </w:rPr>
        <w:t>38070.65万</w:t>
      </w:r>
      <w:r>
        <w:rPr>
          <w:rFonts w:hint="eastAsia" w:ascii="宋体" w:hAnsi="宋体" w:eastAsia="宋体" w:cs="宋体"/>
          <w:spacing w:val="6"/>
          <w:sz w:val="28"/>
          <w:szCs w:val="28"/>
        </w:rPr>
        <w:t>元，控制价</w:t>
      </w:r>
      <w:r>
        <w:rPr>
          <w:rFonts w:hint="eastAsia" w:ascii="宋体" w:hAnsi="宋体" w:eastAsia="宋体" w:cs="宋体"/>
          <w:spacing w:val="6"/>
          <w:sz w:val="28"/>
          <w:szCs w:val="28"/>
          <w:lang w:val="en-US" w:eastAsia="zh-CN"/>
        </w:rPr>
        <w:t>30385.31万</w:t>
      </w:r>
      <w:r>
        <w:rPr>
          <w:rFonts w:hint="eastAsia" w:ascii="宋体" w:hAnsi="宋体" w:eastAsia="宋体" w:cs="宋体"/>
          <w:spacing w:val="6"/>
          <w:sz w:val="28"/>
          <w:szCs w:val="28"/>
        </w:rPr>
        <w:t>元。 工程质量标准要求达到合格工程及以上，计划工期</w:t>
      </w:r>
      <w:r>
        <w:rPr>
          <w:rFonts w:hint="eastAsia" w:ascii="宋体" w:hAnsi="宋体" w:eastAsia="宋体" w:cs="宋体"/>
          <w:spacing w:val="6"/>
          <w:sz w:val="28"/>
          <w:szCs w:val="28"/>
          <w:lang w:val="en-US" w:eastAsia="zh-CN"/>
        </w:rPr>
        <w:t>120</w:t>
      </w:r>
      <w:r>
        <w:rPr>
          <w:rFonts w:hint="eastAsia" w:ascii="宋体" w:hAnsi="宋体" w:eastAsia="宋体" w:cs="宋体"/>
          <w:spacing w:val="6"/>
          <w:sz w:val="28"/>
          <w:szCs w:val="28"/>
        </w:rPr>
        <w:t>日历天 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620" w:lineRule="exact"/>
        <w:ind w:left="0" w:leftChars="0"/>
        <w:jc w:val="left"/>
        <w:rPr>
          <w:rFonts w:hint="eastAsia" w:ascii="宋体" w:hAnsi="宋体" w:eastAsia="宋体" w:cs="宋体"/>
          <w:spacing w:val="6"/>
          <w:sz w:val="28"/>
          <w:szCs w:val="28"/>
        </w:rPr>
      </w:pPr>
      <w:r>
        <w:rPr>
          <w:rFonts w:hint="eastAsia" w:ascii="宋体" w:hAnsi="宋体" w:eastAsia="宋体" w:cs="宋体"/>
          <w:spacing w:val="6"/>
          <w:sz w:val="28"/>
          <w:szCs w:val="28"/>
        </w:rPr>
        <w:t>(四)主要内容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620" w:lineRule="exact"/>
        <w:ind w:left="0" w:leftChars="0"/>
        <w:jc w:val="left"/>
        <w:rPr>
          <w:rFonts w:hint="eastAsia" w:ascii="宋体" w:hAnsi="宋体" w:eastAsia="宋体" w:cs="宋体"/>
          <w:spacing w:val="6"/>
          <w:sz w:val="28"/>
          <w:szCs w:val="28"/>
        </w:rPr>
      </w:pPr>
      <w:r>
        <w:rPr>
          <w:rFonts w:hint="eastAsia" w:ascii="宋体" w:hAnsi="宋体" w:eastAsia="宋体" w:cs="宋体"/>
          <w:spacing w:val="6"/>
          <w:sz w:val="28"/>
          <w:szCs w:val="28"/>
        </w:rPr>
        <w:t>本项目主要建设内容分为以下</w:t>
      </w:r>
      <w:r>
        <w:rPr>
          <w:rFonts w:hint="eastAsia" w:ascii="宋体" w:hAnsi="宋体" w:eastAsia="宋体" w:cs="宋体"/>
          <w:spacing w:val="6"/>
          <w:sz w:val="28"/>
          <w:szCs w:val="28"/>
          <w:lang w:eastAsia="zh-CN"/>
        </w:rPr>
        <w:t>几</w:t>
      </w:r>
      <w:r>
        <w:rPr>
          <w:rFonts w:hint="eastAsia" w:ascii="宋体" w:hAnsi="宋体" w:eastAsia="宋体" w:cs="宋体"/>
          <w:spacing w:val="6"/>
          <w:sz w:val="28"/>
          <w:szCs w:val="28"/>
        </w:rPr>
        <w:t>个方面：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620" w:lineRule="exact"/>
        <w:ind w:left="0" w:leftChars="0"/>
        <w:jc w:val="left"/>
        <w:rPr>
          <w:rFonts w:hint="eastAsia" w:ascii="宋体" w:hAnsi="宋体" w:eastAsia="宋体" w:cs="宋体"/>
          <w:spacing w:val="6"/>
          <w:sz w:val="28"/>
          <w:szCs w:val="28"/>
        </w:rPr>
      </w:pPr>
      <w:r>
        <w:rPr>
          <w:rFonts w:hint="eastAsia" w:ascii="宋体" w:hAnsi="宋体" w:eastAsia="宋体" w:cs="宋体"/>
          <w:spacing w:val="6"/>
          <w:sz w:val="28"/>
          <w:szCs w:val="28"/>
        </w:rPr>
        <w:t>根据对区域内市政排水管和排水单元进行普查、摸排和检测后，对其存在的问题进行整治，对 253 个排水单元进行彻底整改，包含污水设施完善、排水管混接、错接、漏接整改（含排水立管）。 排水单元进行划分为六类： 事业单位、企业单位、居住小区、城中村、在建工地、 民办学校。 其中事业单位有 68 个、企业单位有 66个、居住小区有 65 个、城中村有 25 个、在建工地有 27 个、民办学校有 2 个</w:t>
      </w:r>
      <w:r>
        <w:rPr>
          <w:rFonts w:hint="eastAsia" w:ascii="宋体" w:hAnsi="宋体" w:eastAsia="宋体" w:cs="宋体"/>
          <w:spacing w:val="6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620" w:lineRule="exact"/>
        <w:ind w:left="0" w:leftChars="0"/>
        <w:jc w:val="left"/>
        <w:rPr>
          <w:rFonts w:hint="eastAsia" w:ascii="宋体" w:hAnsi="宋体" w:eastAsia="宋体" w:cs="宋体"/>
          <w:spacing w:val="6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6"/>
          <w:sz w:val="28"/>
          <w:szCs w:val="28"/>
        </w:rPr>
        <w:t>对区域内渠道进行内源治理、拆除区域内水流堵点、修复。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620" w:lineRule="exact"/>
        <w:ind w:left="0" w:leftChars="0"/>
        <w:jc w:val="left"/>
        <w:rPr>
          <w:rFonts w:hint="eastAsia" w:ascii="宋体" w:hAnsi="宋体" w:eastAsia="宋体" w:cs="宋体"/>
          <w:spacing w:val="6"/>
          <w:sz w:val="28"/>
          <w:szCs w:val="28"/>
        </w:rPr>
      </w:pPr>
      <w:r>
        <w:rPr>
          <w:rFonts w:hint="eastAsia" w:ascii="宋体" w:hAnsi="宋体" w:eastAsia="宋体" w:cs="宋体"/>
          <w:spacing w:val="6"/>
          <w:sz w:val="28"/>
          <w:szCs w:val="28"/>
        </w:rPr>
        <w:t>新建</w:t>
      </w:r>
      <w:r>
        <w:rPr>
          <w:rFonts w:hint="eastAsia" w:ascii="宋体" w:hAnsi="宋体" w:eastAsia="宋体" w:cs="宋体"/>
          <w:spacing w:val="6"/>
          <w:sz w:val="28"/>
          <w:szCs w:val="28"/>
          <w:lang w:val="en-US" w:eastAsia="zh-CN"/>
        </w:rPr>
        <w:t>5座</w:t>
      </w:r>
      <w:r>
        <w:rPr>
          <w:rFonts w:hint="eastAsia" w:ascii="宋体" w:hAnsi="宋体" w:eastAsia="宋体" w:cs="宋体"/>
          <w:spacing w:val="6"/>
          <w:sz w:val="28"/>
          <w:szCs w:val="28"/>
        </w:rPr>
        <w:t>渠道闸门，改善水动力条件，进一步提升水环境。</w:t>
      </w:r>
    </w:p>
    <w:tbl>
      <w:tblPr>
        <w:tblStyle w:val="4"/>
        <w:tblpPr w:leftFromText="180" w:rightFromText="180" w:vertAnchor="text" w:horzAnchor="margin" w:tblpXSpec="center" w:tblpY="360"/>
        <w:tblOverlap w:val="never"/>
        <w:tblW w:w="9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465"/>
        <w:gridCol w:w="930"/>
        <w:gridCol w:w="915"/>
        <w:gridCol w:w="1613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620" w:lineRule="exact"/>
              <w:ind w:left="0" w:leftChars="0"/>
              <w:jc w:val="left"/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  <w:t>序号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620" w:lineRule="exact"/>
              <w:ind w:left="0" w:leftChars="0"/>
              <w:jc w:val="left"/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  <w:t>内容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620" w:lineRule="exact"/>
              <w:ind w:left="0" w:leftChars="0"/>
              <w:jc w:val="left"/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  <w:t>单位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620" w:lineRule="exact"/>
              <w:ind w:left="0" w:leftChars="0"/>
              <w:jc w:val="left"/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  <w:t>数量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620" w:lineRule="exact"/>
              <w:ind w:left="0" w:leftChars="0"/>
              <w:jc w:val="left"/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  <w:t>B*H（米）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620" w:lineRule="exact"/>
              <w:ind w:left="0" w:leftChars="0"/>
              <w:jc w:val="left"/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  <w:t>吊装方案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620" w:lineRule="exact"/>
              <w:ind w:left="0" w:leftChars="0"/>
              <w:jc w:val="left"/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  <w:t>1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620" w:lineRule="exact"/>
              <w:ind w:left="0" w:leftChars="0"/>
              <w:jc w:val="left"/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  <w:t>昌南辅道景观渠 1#钢坝闸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620" w:lineRule="exact"/>
              <w:ind w:left="0" w:leftChars="0"/>
              <w:jc w:val="left"/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  <w:t>套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620" w:lineRule="exact"/>
              <w:ind w:left="0" w:leftChars="0"/>
              <w:jc w:val="left"/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  <w:t>１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620" w:lineRule="exact"/>
              <w:ind w:left="0" w:leftChars="0"/>
              <w:jc w:val="left"/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  <w:t>5*3.5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620" w:lineRule="exact"/>
              <w:ind w:left="0" w:leftChars="0"/>
              <w:jc w:val="left"/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  <w:t>50t汽车吊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620" w:lineRule="exact"/>
              <w:ind w:left="0" w:leftChars="0"/>
              <w:jc w:val="left"/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  <w:t>2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620" w:lineRule="exact"/>
              <w:ind w:left="0" w:leftChars="0"/>
              <w:jc w:val="left"/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  <w:t>昌南辅道景观渠 2#钢坝闸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620" w:lineRule="exact"/>
              <w:ind w:left="0" w:leftChars="0"/>
              <w:jc w:val="left"/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  <w:t>套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620" w:lineRule="exact"/>
              <w:ind w:left="0" w:leftChars="0"/>
              <w:jc w:val="left"/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  <w:t>1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620" w:lineRule="exact"/>
              <w:ind w:left="0" w:leftChars="0"/>
              <w:jc w:val="left"/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  <w:t>5*1.5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620" w:lineRule="exact"/>
              <w:ind w:left="0" w:leftChars="0"/>
              <w:jc w:val="left"/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  <w:t>50t汽车吊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620" w:lineRule="exact"/>
              <w:ind w:left="0" w:leftChars="0"/>
              <w:jc w:val="left"/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  <w:t>3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620" w:lineRule="exact"/>
              <w:ind w:left="0" w:leftChars="0"/>
              <w:jc w:val="left"/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  <w:t>云飞路景观渠3#钢坝闸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620" w:lineRule="exact"/>
              <w:ind w:left="0" w:leftChars="0"/>
              <w:jc w:val="left"/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  <w:t>套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620" w:lineRule="exact"/>
              <w:ind w:left="0" w:leftChars="0"/>
              <w:jc w:val="left"/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  <w:t>1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620" w:lineRule="exact"/>
              <w:ind w:left="0" w:leftChars="0"/>
              <w:jc w:val="left"/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  <w:t>10*1.5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620" w:lineRule="exact"/>
              <w:ind w:left="0" w:leftChars="0"/>
              <w:jc w:val="left"/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  <w:t>50t汽车吊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620" w:lineRule="exact"/>
              <w:ind w:left="0" w:leftChars="0"/>
              <w:jc w:val="left"/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  <w:t>4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620" w:lineRule="exact"/>
              <w:ind w:left="0" w:leftChars="0"/>
              <w:jc w:val="left"/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  <w:t>桃花路景观渠4#钢坝闸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620" w:lineRule="exact"/>
              <w:ind w:left="0" w:leftChars="0"/>
              <w:jc w:val="left"/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  <w:t>套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620" w:lineRule="exact"/>
              <w:ind w:left="0" w:leftChars="0"/>
              <w:jc w:val="left"/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  <w:t>1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620" w:lineRule="exact"/>
              <w:ind w:left="0" w:leftChars="0"/>
              <w:jc w:val="left"/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  <w:t>12*1.5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620" w:lineRule="exact"/>
              <w:ind w:left="0" w:leftChars="0"/>
              <w:jc w:val="left"/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  <w:t>50t汽车吊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620" w:lineRule="exact"/>
              <w:ind w:left="0" w:leftChars="0"/>
              <w:jc w:val="left"/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  <w:t>5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620" w:lineRule="exact"/>
              <w:ind w:left="0" w:leftChars="0"/>
              <w:jc w:val="left"/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  <w:t>水厂路景观渠5#钢坝闸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620" w:lineRule="exact"/>
              <w:ind w:left="0" w:leftChars="0"/>
              <w:jc w:val="left"/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  <w:t>套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620" w:lineRule="exact"/>
              <w:ind w:left="0" w:leftChars="0"/>
              <w:jc w:val="left"/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  <w:t>1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620" w:lineRule="exact"/>
              <w:ind w:left="0" w:leftChars="0"/>
              <w:jc w:val="left"/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  <w:t>15*1.5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620" w:lineRule="exact"/>
              <w:ind w:left="0" w:leftChars="0"/>
              <w:jc w:val="left"/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6"/>
                <w:sz w:val="28"/>
                <w:szCs w:val="28"/>
              </w:rPr>
              <w:t>50t汽车吊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620" w:lineRule="exact"/>
        <w:ind w:left="0" w:leftChars="0"/>
        <w:jc w:val="left"/>
        <w:rPr>
          <w:rFonts w:hint="eastAsia" w:ascii="宋体" w:hAnsi="宋体" w:eastAsia="宋体" w:cs="宋体"/>
          <w:spacing w:val="6"/>
          <w:sz w:val="28"/>
          <w:szCs w:val="28"/>
        </w:rPr>
      </w:pPr>
      <w:r>
        <w:rPr>
          <w:rFonts w:hint="eastAsia" w:ascii="宋体" w:hAnsi="宋体" w:eastAsia="宋体" w:cs="宋体"/>
          <w:spacing w:val="6"/>
          <w:sz w:val="28"/>
          <w:szCs w:val="28"/>
        </w:rPr>
        <w:t>顶管施工段主要位于桃花渠东侧，由雷池街起，沿途经过云锦路、九洲大街、瑞虎路、祥狮路、燕舞路、莺歌路至三角阳光小区桃花河东岸。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620" w:lineRule="exact"/>
        <w:ind w:left="0" w:leftChars="0"/>
        <w:jc w:val="left"/>
        <w:rPr>
          <w:rFonts w:hint="eastAsia" w:ascii="宋体" w:hAnsi="宋体" w:eastAsia="宋体" w:cs="宋体"/>
          <w:spacing w:val="6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620" w:lineRule="exact"/>
        <w:ind w:left="0" w:leftChars="0"/>
        <w:jc w:val="left"/>
        <w:rPr>
          <w:rFonts w:hint="eastAsia" w:ascii="宋体" w:hAnsi="宋体" w:eastAsia="宋体" w:cs="宋体"/>
          <w:spacing w:val="6"/>
          <w:sz w:val="28"/>
          <w:szCs w:val="28"/>
        </w:rPr>
      </w:pPr>
      <w:r>
        <w:rPr>
          <w:rFonts w:hint="eastAsia" w:ascii="宋体" w:hAnsi="宋体" w:eastAsia="宋体" w:cs="宋体"/>
          <w:spacing w:val="6"/>
          <w:sz w:val="28"/>
          <w:szCs w:val="28"/>
        </w:rPr>
        <w:t>(二)项目绩效目标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620" w:lineRule="exact"/>
        <w:ind w:left="0" w:leftChars="0"/>
        <w:jc w:val="left"/>
        <w:rPr>
          <w:rFonts w:hint="eastAsia" w:ascii="宋体" w:hAnsi="宋体" w:eastAsia="宋体" w:cs="宋体"/>
          <w:spacing w:val="6"/>
          <w:sz w:val="28"/>
          <w:szCs w:val="28"/>
        </w:rPr>
      </w:pPr>
      <w:r>
        <w:rPr>
          <w:rFonts w:hint="eastAsia" w:ascii="宋体" w:hAnsi="宋体" w:eastAsia="宋体" w:cs="宋体"/>
          <w:spacing w:val="6"/>
          <w:sz w:val="28"/>
          <w:szCs w:val="28"/>
        </w:rPr>
        <w:t>总体目标： 工程范围内进行排水单元雨污混接改造，确保无混接、错接情况，完善污水预处理设施等。为实现象湖污水处理厂生活污水集中收集率达到 70%，平均进水 BOD 稳定达到 100 mg/L 以</w:t>
      </w:r>
      <w:r>
        <w:rPr>
          <w:rFonts w:hint="eastAsia" w:ascii="宋体" w:hAnsi="宋体" w:eastAsia="宋体" w:cs="宋体"/>
          <w:spacing w:val="6"/>
          <w:sz w:val="28"/>
          <w:szCs w:val="28"/>
          <w:lang w:eastAsia="zh-CN"/>
        </w:rPr>
        <w:t>上，从而极大提高水系连通性，恢复河道生态功能； 改善河岸生态微循环，提高水体自净功能；完善雨水防涝工程体系。</w:t>
      </w:r>
      <w:r>
        <w:rPr>
          <w:rFonts w:hint="eastAsia" w:ascii="宋体" w:hAnsi="宋体" w:eastAsia="宋体" w:cs="宋体"/>
          <w:spacing w:val="6"/>
          <w:sz w:val="28"/>
          <w:szCs w:val="28"/>
        </w:rPr>
        <w:t>从而达到提升城市品位、完善城市功能、塑造城市形象的目的。阶段性目标：产出指标、效益指标、满意度。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620" w:lineRule="exact"/>
        <w:ind w:left="0" w:leftChars="0"/>
        <w:jc w:val="center"/>
        <w:rPr>
          <w:rFonts w:hint="eastAsia" w:ascii="宋体" w:hAnsi="宋体" w:eastAsia="宋体" w:cs="宋体"/>
          <w:spacing w:val="6"/>
          <w:sz w:val="28"/>
          <w:szCs w:val="28"/>
        </w:rPr>
      </w:pPr>
      <w:r>
        <w:rPr>
          <w:rFonts w:hint="eastAsia" w:ascii="宋体" w:hAnsi="宋体" w:eastAsia="宋体" w:cs="宋体"/>
          <w:spacing w:val="6"/>
          <w:sz w:val="28"/>
          <w:szCs w:val="28"/>
        </w:rPr>
        <w:t>项目支出绩效评价指标体系</w:t>
      </w:r>
    </w:p>
    <w:tbl>
      <w:tblPr>
        <w:tblStyle w:val="4"/>
        <w:tblW w:w="473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066"/>
        <w:gridCol w:w="2707"/>
        <w:gridCol w:w="1882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tblHeader/>
          <w:jc w:val="center"/>
        </w:trPr>
        <w:tc>
          <w:tcPr>
            <w:tcW w:w="4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/>
              <w:ind w:left="0" w:leftChars="0"/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/>
              <w:ind w:left="0" w:leftChars="0"/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指标</w:t>
            </w:r>
          </w:p>
        </w:tc>
        <w:tc>
          <w:tcPr>
            <w:tcW w:w="66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/>
              <w:ind w:left="0" w:leftChars="0"/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二级指标</w:t>
            </w:r>
          </w:p>
        </w:tc>
        <w:tc>
          <w:tcPr>
            <w:tcW w:w="167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/>
              <w:ind w:left="0" w:leftChars="0"/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三级指标</w:t>
            </w:r>
          </w:p>
        </w:tc>
        <w:tc>
          <w:tcPr>
            <w:tcW w:w="1165" w:type="pct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/>
              <w:ind w:left="0" w:leftChars="0"/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</w:rPr>
              <w:t>指标解释</w:t>
            </w:r>
          </w:p>
        </w:tc>
        <w:tc>
          <w:tcPr>
            <w:tcW w:w="10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/>
              <w:ind w:left="0" w:leftChars="0"/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</w:rPr>
              <w:t>指标说明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7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决策　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项目立项　</w:t>
            </w:r>
          </w:p>
        </w:tc>
        <w:tc>
          <w:tcPr>
            <w:tcW w:w="167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立项依据充分性</w:t>
            </w:r>
          </w:p>
        </w:tc>
        <w:tc>
          <w:tcPr>
            <w:tcW w:w="1165" w:type="pct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项目立项符合法律法规、相关政 策、发展规划</w:t>
            </w:r>
            <w:r>
              <w:rPr>
                <w:rFonts w:hint="eastAsia" w:ascii="宋体" w:hAnsi="宋体" w:eastAsia="宋体" w:cs="宋体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</w:rPr>
              <w:t>部门职责</w:t>
            </w:r>
            <w:r>
              <w:rPr>
                <w:rFonts w:hint="eastAsia" w:ascii="宋体" w:hAnsi="宋体" w:eastAsia="宋体" w:cs="宋体"/>
                <w:lang w:eastAsia="zh-CN"/>
              </w:rPr>
              <w:t>明确</w:t>
            </w:r>
            <w:r>
              <w:rPr>
                <w:rFonts w:hint="eastAsia" w:ascii="宋体" w:hAnsi="宋体" w:eastAsia="宋体" w:cs="宋体"/>
              </w:rPr>
              <w:t>，项目立项依据</w:t>
            </w:r>
            <w:r>
              <w:rPr>
                <w:rFonts w:hint="eastAsia" w:ascii="宋体" w:hAnsi="宋体" w:eastAsia="宋体" w:cs="宋体"/>
                <w:lang w:eastAsia="zh-CN"/>
              </w:rPr>
              <w:t>充分</w:t>
            </w:r>
          </w:p>
        </w:tc>
        <w:tc>
          <w:tcPr>
            <w:tcW w:w="10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立项充分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471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60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7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立项程序规范性</w:t>
            </w:r>
          </w:p>
        </w:tc>
        <w:tc>
          <w:tcPr>
            <w:tcW w:w="1165" w:type="pct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项目申请、设立过程符合相关要求， 项目立项的</w:t>
            </w:r>
            <w:r>
              <w:rPr>
                <w:rFonts w:hint="eastAsia" w:ascii="宋体" w:hAnsi="宋体" w:eastAsia="宋体" w:cs="宋体"/>
                <w:lang w:eastAsia="zh-CN"/>
              </w:rPr>
              <w:t>程序</w:t>
            </w:r>
            <w:r>
              <w:rPr>
                <w:rFonts w:hint="eastAsia" w:ascii="宋体" w:hAnsi="宋体" w:eastAsia="宋体" w:cs="宋体"/>
              </w:rPr>
              <w:t>规范</w:t>
            </w:r>
          </w:p>
        </w:tc>
        <w:tc>
          <w:tcPr>
            <w:tcW w:w="10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立项规范程度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71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绩效目标　</w:t>
            </w:r>
          </w:p>
        </w:tc>
        <w:tc>
          <w:tcPr>
            <w:tcW w:w="167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绩效目标合理性</w:t>
            </w:r>
          </w:p>
        </w:tc>
        <w:tc>
          <w:tcPr>
            <w:tcW w:w="1165" w:type="pct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项目所设定的绩效目标依据充分， 符合客观实际， 绩效目标与项目实施相符</w:t>
            </w:r>
          </w:p>
        </w:tc>
        <w:tc>
          <w:tcPr>
            <w:tcW w:w="10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预算目标合理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71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绩效目标</w:t>
            </w:r>
          </w:p>
        </w:tc>
        <w:tc>
          <w:tcPr>
            <w:tcW w:w="167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绩效指标明确性</w:t>
            </w:r>
          </w:p>
        </w:tc>
        <w:tc>
          <w:tcPr>
            <w:tcW w:w="1165" w:type="pct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依据绩效目标设定的绩效指标清 晰、细化、可衡量 项目绩效目标</w:t>
            </w:r>
            <w:r>
              <w:rPr>
                <w:rFonts w:hint="eastAsia" w:ascii="宋体" w:hAnsi="宋体" w:eastAsia="宋体" w:cs="宋体"/>
                <w:lang w:eastAsia="zh-CN"/>
              </w:rPr>
              <w:t>明确</w:t>
            </w:r>
          </w:p>
        </w:tc>
        <w:tc>
          <w:tcPr>
            <w:tcW w:w="10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绩效指标明确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71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60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资金投入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67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预算编制科学性</w:t>
            </w:r>
          </w:p>
        </w:tc>
        <w:tc>
          <w:tcPr>
            <w:tcW w:w="1165" w:type="pct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项目预算编制经过科学论证、有明 确标准，资金额度与年度目标相适 应，项目预算编制的科学、合理</w:t>
            </w:r>
          </w:p>
        </w:tc>
        <w:tc>
          <w:tcPr>
            <w:tcW w:w="10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编制科学&gt;85%得1分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71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60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7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65" w:type="pct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项目预算资金分配有测算依据，与 补助单位或地方实际相适应，项目预算资金分配科学、合理</w:t>
            </w:r>
          </w:p>
        </w:tc>
        <w:tc>
          <w:tcPr>
            <w:tcW w:w="10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分配合理1分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7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过程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　</w:t>
            </w:r>
          </w:p>
        </w:tc>
        <w:tc>
          <w:tcPr>
            <w:tcW w:w="66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7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65" w:type="pct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实际到位资金与预算资金的比率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100%</w:t>
            </w:r>
            <w:r>
              <w:rPr>
                <w:rFonts w:hint="eastAsia" w:ascii="宋体" w:hAnsi="宋体" w:eastAsia="宋体" w:cs="宋体"/>
              </w:rPr>
              <w:t>，资金落实对项目实施的总体保障</w:t>
            </w:r>
            <w:r>
              <w:rPr>
                <w:rFonts w:hint="eastAsia" w:ascii="宋体" w:hAnsi="宋体" w:eastAsia="宋体" w:cs="宋体"/>
                <w:lang w:eastAsia="zh-CN"/>
              </w:rPr>
              <w:t>到位率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100%</w:t>
            </w:r>
            <w:r>
              <w:rPr>
                <w:rFonts w:hint="eastAsia" w:ascii="宋体" w:hAnsi="宋体" w:eastAsia="宋体" w:cs="宋体"/>
              </w:rPr>
              <w:t>。</w:t>
            </w:r>
          </w:p>
        </w:tc>
        <w:tc>
          <w:tcPr>
            <w:tcW w:w="10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资金全部到位1分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71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60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资金管理</w:t>
            </w:r>
          </w:p>
        </w:tc>
        <w:tc>
          <w:tcPr>
            <w:tcW w:w="167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预算执行率</w:t>
            </w:r>
          </w:p>
        </w:tc>
        <w:tc>
          <w:tcPr>
            <w:tcW w:w="1165" w:type="pct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项目预算资金按照计划执行，预算执行</w:t>
            </w:r>
            <w:r>
              <w:rPr>
                <w:rFonts w:hint="eastAsia" w:ascii="宋体" w:hAnsi="宋体" w:eastAsia="宋体" w:cs="宋体"/>
                <w:lang w:eastAsia="zh-CN"/>
              </w:rPr>
              <w:t>率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100%</w:t>
            </w:r>
            <w:r>
              <w:rPr>
                <w:rFonts w:hint="eastAsia" w:ascii="宋体" w:hAnsi="宋体" w:eastAsia="宋体" w:cs="宋体"/>
              </w:rPr>
              <w:t>。</w:t>
            </w:r>
          </w:p>
        </w:tc>
        <w:tc>
          <w:tcPr>
            <w:tcW w:w="10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执行率低于85%不得分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71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60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7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资金使用合规性</w:t>
            </w:r>
          </w:p>
        </w:tc>
        <w:tc>
          <w:tcPr>
            <w:tcW w:w="1165" w:type="pct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项目资金使用符合相关的财务管 理制度规定，项目资金</w:t>
            </w:r>
            <w:r>
              <w:rPr>
                <w:rFonts w:hint="eastAsia" w:ascii="宋体" w:hAnsi="宋体" w:eastAsia="宋体" w:cs="宋体"/>
                <w:lang w:eastAsia="zh-CN"/>
              </w:rPr>
              <w:t>使用合法合规</w:t>
            </w:r>
          </w:p>
        </w:tc>
        <w:tc>
          <w:tcPr>
            <w:tcW w:w="10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专款专用得1分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71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60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组织实施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67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管理制度健全性</w:t>
            </w:r>
          </w:p>
        </w:tc>
        <w:tc>
          <w:tcPr>
            <w:tcW w:w="1165" w:type="pct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项目实施单位的财务和业务管理制度健全，财务和业务管理制度对项目顺利实施</w:t>
            </w:r>
            <w:r>
              <w:rPr>
                <w:rFonts w:hint="eastAsia" w:ascii="宋体" w:hAnsi="宋体" w:eastAsia="宋体" w:cs="宋体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</w:rPr>
              <w:t>保障</w:t>
            </w:r>
          </w:p>
        </w:tc>
        <w:tc>
          <w:tcPr>
            <w:tcW w:w="10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管理制度健全1分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71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60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7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制度执行有效性</w:t>
            </w:r>
          </w:p>
        </w:tc>
        <w:tc>
          <w:tcPr>
            <w:tcW w:w="1165" w:type="pct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项目实施符合相关管理规定，相关管理制度有效执行</w:t>
            </w:r>
            <w:r>
              <w:rPr>
                <w:rFonts w:hint="eastAsia" w:ascii="宋体" w:hAnsi="宋体" w:eastAsia="宋体" w:cs="宋体"/>
                <w:lang w:eastAsia="zh-CN"/>
              </w:rPr>
              <w:t>率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93%</w:t>
            </w:r>
          </w:p>
        </w:tc>
        <w:tc>
          <w:tcPr>
            <w:tcW w:w="10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执行率低于85%不得分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7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产出</w:t>
            </w:r>
          </w:p>
        </w:tc>
        <w:tc>
          <w:tcPr>
            <w:tcW w:w="66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产出数量</w:t>
            </w:r>
          </w:p>
        </w:tc>
        <w:tc>
          <w:tcPr>
            <w:tcW w:w="167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实际完成率</w:t>
            </w:r>
          </w:p>
        </w:tc>
        <w:tc>
          <w:tcPr>
            <w:tcW w:w="1165" w:type="pct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项目实施的实际产出数与计划产出数的比率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100%</w:t>
            </w:r>
            <w:r>
              <w:rPr>
                <w:rFonts w:hint="eastAsia" w:ascii="宋体" w:hAnsi="宋体" w:eastAsia="宋体" w:cs="宋体"/>
              </w:rPr>
              <w:t>，项目产出数量目标实现</w:t>
            </w:r>
            <w:r>
              <w:rPr>
                <w:rFonts w:hint="eastAsia" w:ascii="宋体" w:hAnsi="宋体" w:eastAsia="宋体" w:cs="宋体"/>
                <w:lang w:eastAsia="zh-CN"/>
              </w:rPr>
              <w:t>率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98%</w:t>
            </w:r>
            <w:r>
              <w:rPr>
                <w:rFonts w:hint="eastAsia" w:ascii="宋体" w:hAnsi="宋体" w:eastAsia="宋体" w:cs="宋体"/>
              </w:rPr>
              <w:t>。</w:t>
            </w:r>
          </w:p>
        </w:tc>
        <w:tc>
          <w:tcPr>
            <w:tcW w:w="10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项目的整体情况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71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产出质量</w:t>
            </w:r>
          </w:p>
        </w:tc>
        <w:tc>
          <w:tcPr>
            <w:tcW w:w="167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质量达标率</w:t>
            </w:r>
          </w:p>
        </w:tc>
        <w:tc>
          <w:tcPr>
            <w:tcW w:w="1165" w:type="pct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项目完成的质量达标产出数与实际产出数的比率，项目产出质量目标的实现</w:t>
            </w:r>
            <w:r>
              <w:rPr>
                <w:rFonts w:hint="eastAsia" w:ascii="宋体" w:hAnsi="宋体" w:eastAsia="宋体" w:cs="宋体"/>
                <w:lang w:eastAsia="zh-CN"/>
              </w:rPr>
              <w:t>率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95%</w:t>
            </w:r>
          </w:p>
        </w:tc>
        <w:tc>
          <w:tcPr>
            <w:tcW w:w="10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能够正常使用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71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产出时效</w:t>
            </w:r>
          </w:p>
        </w:tc>
        <w:tc>
          <w:tcPr>
            <w:tcW w:w="167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完成及时性</w:t>
            </w:r>
          </w:p>
        </w:tc>
        <w:tc>
          <w:tcPr>
            <w:tcW w:w="1165" w:type="pct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项目实际完成时间与计划完成时间</w:t>
            </w:r>
            <w:r>
              <w:rPr>
                <w:rFonts w:hint="eastAsia" w:ascii="宋体" w:hAnsi="宋体" w:eastAsia="宋体" w:cs="宋体"/>
                <w:lang w:eastAsia="zh-CN"/>
              </w:rPr>
              <w:t>比率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100%</w:t>
            </w:r>
            <w:r>
              <w:rPr>
                <w:rFonts w:hint="eastAsia" w:ascii="宋体" w:hAnsi="宋体" w:eastAsia="宋体" w:cs="宋体"/>
              </w:rPr>
              <w:t>，项目产出时效目标的实现</w:t>
            </w:r>
            <w:r>
              <w:rPr>
                <w:rFonts w:hint="eastAsia" w:ascii="宋体" w:hAnsi="宋体" w:eastAsia="宋体" w:cs="宋体"/>
                <w:lang w:eastAsia="zh-CN"/>
              </w:rPr>
              <w:t>率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96%</w:t>
            </w:r>
          </w:p>
        </w:tc>
        <w:tc>
          <w:tcPr>
            <w:tcW w:w="10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100%处理完问题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71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产出成本</w:t>
            </w:r>
          </w:p>
        </w:tc>
        <w:tc>
          <w:tcPr>
            <w:tcW w:w="167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项目支出成本</w:t>
            </w:r>
          </w:p>
        </w:tc>
        <w:tc>
          <w:tcPr>
            <w:tcW w:w="1165" w:type="pct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完成项目计划工作目标的实际节约成本与计划成本的比率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100%</w:t>
            </w:r>
            <w:r>
              <w:rPr>
                <w:rFonts w:hint="eastAsia" w:ascii="宋体" w:hAnsi="宋体" w:eastAsia="宋体" w:cs="宋体"/>
              </w:rPr>
              <w:t>，项目的成本节约</w:t>
            </w:r>
            <w:r>
              <w:rPr>
                <w:rFonts w:hint="eastAsia" w:ascii="宋体" w:hAnsi="宋体" w:eastAsia="宋体" w:cs="宋体"/>
                <w:lang w:eastAsia="zh-CN"/>
              </w:rPr>
              <w:t>率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35%</w:t>
            </w:r>
            <w:r>
              <w:rPr>
                <w:rFonts w:hint="eastAsia" w:ascii="宋体" w:hAnsi="宋体" w:eastAsia="宋体" w:cs="宋体"/>
              </w:rPr>
              <w:t>。</w:t>
            </w:r>
          </w:p>
        </w:tc>
        <w:tc>
          <w:tcPr>
            <w:tcW w:w="10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控制在预算内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71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社会效益</w:t>
            </w:r>
          </w:p>
        </w:tc>
        <w:tc>
          <w:tcPr>
            <w:tcW w:w="167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实施效益</w:t>
            </w:r>
          </w:p>
        </w:tc>
        <w:tc>
          <w:tcPr>
            <w:tcW w:w="116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项目实施社会产生效益</w:t>
            </w:r>
            <w:r>
              <w:rPr>
                <w:rFonts w:hint="eastAsia" w:ascii="宋体" w:hAnsi="宋体" w:eastAsia="宋体" w:cs="宋体"/>
                <w:lang w:eastAsia="zh-CN"/>
              </w:rPr>
              <w:t>明显</w:t>
            </w:r>
            <w:r>
              <w:rPr>
                <w:rFonts w:hint="eastAsia" w:ascii="宋体" w:hAnsi="宋体" w:eastAsia="宋体" w:cs="宋体"/>
              </w:rPr>
              <w:t>。</w:t>
            </w:r>
          </w:p>
        </w:tc>
        <w:tc>
          <w:tcPr>
            <w:tcW w:w="10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及时处理好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471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生态效益</w:t>
            </w:r>
          </w:p>
        </w:tc>
        <w:tc>
          <w:tcPr>
            <w:tcW w:w="167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实施效益</w:t>
            </w:r>
          </w:p>
        </w:tc>
        <w:tc>
          <w:tcPr>
            <w:tcW w:w="1165" w:type="pct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项目实施</w:t>
            </w:r>
            <w:r>
              <w:rPr>
                <w:rFonts w:hint="eastAsia" w:ascii="宋体" w:hAnsi="宋体" w:eastAsia="宋体" w:cs="宋体"/>
                <w:lang w:eastAsia="zh-CN"/>
              </w:rPr>
              <w:t>生态</w:t>
            </w:r>
            <w:r>
              <w:rPr>
                <w:rFonts w:hint="eastAsia" w:ascii="宋体" w:hAnsi="宋体" w:eastAsia="宋体" w:cs="宋体"/>
              </w:rPr>
              <w:t>效益</w:t>
            </w:r>
            <w:r>
              <w:rPr>
                <w:rFonts w:hint="eastAsia" w:ascii="宋体" w:hAnsi="宋体" w:eastAsia="宋体" w:cs="宋体"/>
                <w:lang w:eastAsia="zh-CN"/>
              </w:rPr>
              <w:t>明显</w:t>
            </w:r>
            <w:r>
              <w:rPr>
                <w:rFonts w:hint="eastAsia" w:ascii="宋体" w:hAnsi="宋体" w:eastAsia="宋体" w:cs="宋体"/>
              </w:rPr>
              <w:t>。</w:t>
            </w:r>
          </w:p>
        </w:tc>
        <w:tc>
          <w:tcPr>
            <w:tcW w:w="10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7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满意度10</w:t>
            </w:r>
          </w:p>
        </w:tc>
        <w:tc>
          <w:tcPr>
            <w:tcW w:w="66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社会公众或服务对象满意度</w:t>
            </w:r>
          </w:p>
        </w:tc>
        <w:tc>
          <w:tcPr>
            <w:tcW w:w="167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满意度</w:t>
            </w:r>
          </w:p>
        </w:tc>
        <w:tc>
          <w:tcPr>
            <w:tcW w:w="116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社会公众或服务对象对项目实施效果 满意程度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96%</w:t>
            </w:r>
            <w:r>
              <w:rPr>
                <w:rFonts w:hint="eastAsia" w:ascii="宋体" w:hAnsi="宋体" w:eastAsia="宋体" w:cs="宋体"/>
              </w:rPr>
              <w:t>。</w:t>
            </w:r>
          </w:p>
        </w:tc>
        <w:tc>
          <w:tcPr>
            <w:tcW w:w="10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满意度达到 95%以上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50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50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50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50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50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50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50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50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50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50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50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50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50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50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50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500" w:lineRule="exact"/>
        <w:ind w:left="0" w:leftChars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附件3: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500" w:lineRule="exact"/>
        <w:ind w:left="0" w:leftChars="0"/>
        <w:jc w:val="center"/>
        <w:rPr>
          <w:rFonts w:hint="eastAsia" w:ascii="宋体" w:hAnsi="宋体" w:eastAsia="宋体" w:cs="宋体"/>
          <w:bCs/>
          <w:sz w:val="44"/>
          <w:szCs w:val="44"/>
        </w:rPr>
      </w:pPr>
      <w:r>
        <w:rPr>
          <w:rFonts w:hint="eastAsia" w:ascii="宋体" w:hAnsi="宋体" w:eastAsia="宋体" w:cs="宋体"/>
          <w:bCs/>
          <w:sz w:val="44"/>
          <w:szCs w:val="44"/>
        </w:rPr>
        <w:t>部门评价</w:t>
      </w:r>
      <w:r>
        <w:rPr>
          <w:rFonts w:hint="eastAsia" w:ascii="宋体" w:hAnsi="宋体" w:eastAsia="宋体" w:cs="宋体"/>
          <w:bCs/>
          <w:sz w:val="44"/>
          <w:szCs w:val="44"/>
          <w:lang w:eastAsia="zh-CN"/>
        </w:rPr>
        <w:t>评</w:t>
      </w:r>
      <w:r>
        <w:rPr>
          <w:rFonts w:hint="eastAsia" w:ascii="宋体" w:hAnsi="宋体" w:eastAsia="宋体" w:cs="宋体"/>
          <w:bCs/>
          <w:sz w:val="44"/>
          <w:szCs w:val="44"/>
          <w:lang w:val="en-US" w:eastAsia="zh-CN"/>
        </w:rPr>
        <w:t>分</w:t>
      </w:r>
      <w:r>
        <w:rPr>
          <w:rFonts w:hint="eastAsia" w:ascii="宋体" w:hAnsi="宋体" w:eastAsia="宋体" w:cs="宋体"/>
          <w:bCs/>
          <w:sz w:val="44"/>
          <w:szCs w:val="44"/>
        </w:rPr>
        <w:t>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500" w:lineRule="exact"/>
        <w:ind w:left="0" w:leftChars="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</w:rPr>
        <w:t>（ 2022年度）</w:t>
      </w:r>
    </w:p>
    <w:tbl>
      <w:tblPr>
        <w:tblStyle w:val="4"/>
        <w:tblW w:w="973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812"/>
        <w:gridCol w:w="1318"/>
        <w:gridCol w:w="1618"/>
        <w:gridCol w:w="1571"/>
        <w:gridCol w:w="1268"/>
        <w:gridCol w:w="475"/>
        <w:gridCol w:w="518"/>
        <w:gridCol w:w="15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  <w:jc w:val="center"/>
        </w:trPr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83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/>
              <w:ind w:left="0" w:lef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2022年西湖区象湖污水处理厂收集范围排水单元改造及水环境提升工程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主管部门</w:t>
            </w:r>
          </w:p>
        </w:tc>
        <w:tc>
          <w:tcPr>
            <w:tcW w:w="45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/>
              <w:ind w:left="0" w:lef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西湖区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城乡建设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/>
              <w:ind w:left="0" w:lef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实施单位</w:t>
            </w:r>
          </w:p>
        </w:tc>
        <w:tc>
          <w:tcPr>
            <w:tcW w:w="25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/>
              <w:ind w:left="0" w:lef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3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项目资金</w:t>
            </w:r>
            <w:r>
              <w:rPr>
                <w:rFonts w:hint="eastAsia" w:ascii="宋体" w:hAnsi="宋体" w:eastAsia="宋体" w:cs="宋体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</w:rPr>
              <w:t>（万元）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年初预算数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全年预算数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全年执行数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分值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执行率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13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年度资金总额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2"/>
                <w:szCs w:val="22"/>
                <w:lang w:val="en-US" w:eastAsia="zh-CN" w:bidi="ar"/>
              </w:rPr>
              <w:t>38070.65万元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2"/>
                <w:szCs w:val="22"/>
                <w:lang w:val="en-US" w:eastAsia="zh-CN" w:bidi="ar"/>
              </w:rPr>
              <w:t>17000万元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2"/>
                <w:szCs w:val="22"/>
                <w:lang w:val="en-US" w:eastAsia="zh-CN" w:bidi="ar"/>
              </w:rPr>
              <w:t>17000万元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10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100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3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其中：当年财政拨款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2"/>
                <w:szCs w:val="22"/>
                <w:lang w:val="en-US" w:eastAsia="zh-CN" w:bidi="ar"/>
              </w:rPr>
              <w:t>17000万元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2"/>
                <w:szCs w:val="22"/>
                <w:lang w:val="en-US" w:eastAsia="zh-CN" w:bidi="ar"/>
              </w:rPr>
              <w:t>17000万元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2"/>
                <w:szCs w:val="22"/>
                <w:lang w:val="en-US" w:eastAsia="zh-CN" w:bidi="ar"/>
              </w:rPr>
              <w:t>17000万元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—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100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3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lef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上年结转资金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—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13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 xml:space="preserve">  其他资金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—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5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年度总体目标</w:t>
            </w:r>
          </w:p>
        </w:tc>
        <w:tc>
          <w:tcPr>
            <w:tcW w:w="53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预期目标</w:t>
            </w:r>
          </w:p>
        </w:tc>
        <w:tc>
          <w:tcPr>
            <w:tcW w:w="3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53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eastAsia="zh-CN"/>
              </w:rPr>
              <w:t>改造范围实现雨污分流</w:t>
            </w:r>
          </w:p>
        </w:tc>
        <w:tc>
          <w:tcPr>
            <w:tcW w:w="3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基本保证其顺畅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exact"/>
          <w:jc w:val="center"/>
        </w:trPr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</w:rPr>
              <w:t>绩</w:t>
            </w:r>
            <w:r>
              <w:rPr>
                <w:rFonts w:hint="eastAsia" w:ascii="宋体" w:hAnsi="宋体" w:eastAsia="宋体" w:cs="宋体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</w:rPr>
              <w:t>效</w:t>
            </w:r>
            <w:r>
              <w:rPr>
                <w:rFonts w:hint="eastAsia" w:ascii="宋体" w:hAnsi="宋体" w:eastAsia="宋体" w:cs="宋体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lang w:eastAsia="zh-CN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eastAsia="zh-CN"/>
              </w:rPr>
              <w:t>标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both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指标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二级指标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三级指标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指标值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完成值</w:t>
            </w: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分值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得分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偏差原因分析及改进措施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8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(60分）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3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数量指标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水体治理面积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&gt;=12km²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12.21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km²</w:t>
            </w:r>
          </w:p>
        </w:tc>
        <w:tc>
          <w:tcPr>
            <w:tcW w:w="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5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5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8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3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管道清淤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11万米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11.9万米</w:t>
            </w:r>
          </w:p>
        </w:tc>
        <w:tc>
          <w:tcPr>
            <w:tcW w:w="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4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4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8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3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雨、污水井室清掏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7872座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7872座</w:t>
            </w:r>
          </w:p>
        </w:tc>
        <w:tc>
          <w:tcPr>
            <w:tcW w:w="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4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4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8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3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河道清淤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18万立方米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18.99万立方米</w:t>
            </w:r>
          </w:p>
        </w:tc>
        <w:tc>
          <w:tcPr>
            <w:tcW w:w="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4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3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8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3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HDPE管道埋设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12万米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12万米</w:t>
            </w:r>
          </w:p>
        </w:tc>
        <w:tc>
          <w:tcPr>
            <w:tcW w:w="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4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4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8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3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UPVC雨水立管安装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19万米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19.89万米</w:t>
            </w:r>
          </w:p>
        </w:tc>
        <w:tc>
          <w:tcPr>
            <w:tcW w:w="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5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5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8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3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成品检查井安装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5800套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5800套</w:t>
            </w:r>
          </w:p>
        </w:tc>
        <w:tc>
          <w:tcPr>
            <w:tcW w:w="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4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4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8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3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绿化修复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1000平米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1083平米</w:t>
            </w:r>
          </w:p>
        </w:tc>
        <w:tc>
          <w:tcPr>
            <w:tcW w:w="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4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4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8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3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质量指标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项目验收合格率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5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4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8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</w:p>
        </w:tc>
        <w:tc>
          <w:tcPr>
            <w:tcW w:w="13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城市污水处理厂进水BOD平均浓度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＝63mg/L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＝63mg/L</w:t>
            </w:r>
          </w:p>
        </w:tc>
        <w:tc>
          <w:tcPr>
            <w:tcW w:w="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4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4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8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3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黑臭水体消除比例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4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4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  <w:jc w:val="center"/>
        </w:trPr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8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3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排水单元达标创建合格率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4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4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8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3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建立海绵城市规划建设管理制度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优化现有管控机制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优化现有管控机制</w:t>
            </w:r>
          </w:p>
        </w:tc>
        <w:tc>
          <w:tcPr>
            <w:tcW w:w="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4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4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exact"/>
          <w:jc w:val="center"/>
        </w:trPr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市政府对各区、各部门的绩效考核制度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将海绵城市纳入全市综合考核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将海绵城市纳入全市综合考核</w:t>
            </w:r>
          </w:p>
        </w:tc>
        <w:tc>
          <w:tcPr>
            <w:tcW w:w="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4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4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8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lang w:eastAsia="zh-CN"/>
              </w:rPr>
              <w:t>效益指标（</w:t>
            </w: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30分）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时效指标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（5分）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项目按期完成率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100%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100%</w:t>
            </w:r>
          </w:p>
        </w:tc>
        <w:tc>
          <w:tcPr>
            <w:tcW w:w="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5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5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因疫情，进度有所变化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8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成本指标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（</w:t>
            </w: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0"/>
              </w:rPr>
              <w:t>分）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成本节约率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5%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5%</w:t>
            </w:r>
          </w:p>
        </w:tc>
        <w:tc>
          <w:tcPr>
            <w:tcW w:w="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5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5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606266"/>
                <w:shd w:val="clear" w:color="auto" w:fill="FFFFFF"/>
              </w:rPr>
              <w:t>未达到最佳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8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3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社会效益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指标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提升城市整体环境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有效提升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有效提升</w:t>
            </w:r>
          </w:p>
        </w:tc>
        <w:tc>
          <w:tcPr>
            <w:tcW w:w="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5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5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存在地面上部有防盗网包裹着锈迹的铁质落水管，拆除阻碍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  <w:jc w:val="center"/>
        </w:trPr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8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3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人居环境是否改善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是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是</w:t>
            </w:r>
          </w:p>
        </w:tc>
        <w:tc>
          <w:tcPr>
            <w:tcW w:w="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5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5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8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可持续影响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提升居民居住环境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有效提升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有效提升</w:t>
            </w:r>
          </w:p>
        </w:tc>
        <w:tc>
          <w:tcPr>
            <w:tcW w:w="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5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5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8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生态效益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指标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提升城市形象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有效提升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有效提升</w:t>
            </w:r>
          </w:p>
        </w:tc>
        <w:tc>
          <w:tcPr>
            <w:tcW w:w="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5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5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exact"/>
          <w:jc w:val="center"/>
        </w:trPr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(10分）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服务对象满意度指标（10分）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市民满意度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96%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96%</w:t>
            </w:r>
          </w:p>
        </w:tc>
        <w:tc>
          <w:tcPr>
            <w:tcW w:w="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10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9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能满足绝大部分群众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715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总分</w:t>
            </w:r>
          </w:p>
        </w:tc>
        <w:tc>
          <w:tcPr>
            <w:tcW w:w="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100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96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57" w:afterLines="50" w:line="240" w:lineRule="exact"/>
              <w:ind w:left="0" w:leftChars="0" w:right="-63" w:rightChars="-30"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220" w:lineRule="auto"/>
        <w:ind w:left="0" w:leftChars="0"/>
        <w:rPr>
          <w:rFonts w:hint="eastAsia" w:ascii="宋体" w:hAnsi="宋体" w:eastAsia="宋体" w:cs="宋体"/>
          <w:b/>
          <w:bCs/>
          <w:spacing w:val="-4"/>
          <w:sz w:val="33"/>
          <w:szCs w:val="33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220" w:lineRule="auto"/>
        <w:ind w:left="0" w:leftChars="0"/>
        <w:outlineLvl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pacing w:val="-4"/>
          <w:sz w:val="28"/>
          <w:szCs w:val="28"/>
        </w:rPr>
        <w:t>二、</w:t>
      </w:r>
      <w:r>
        <w:rPr>
          <w:rFonts w:hint="eastAsia" w:ascii="宋体" w:hAnsi="宋体" w:eastAsia="宋体" w:cs="宋体"/>
          <w:spacing w:val="-65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spacing w:val="-4"/>
          <w:sz w:val="28"/>
          <w:szCs w:val="28"/>
        </w:rPr>
        <w:t>绩效评价工作开展情况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697" w:lineRule="exact"/>
        <w:ind w:left="0" w:leftChars="0" w:firstLine="548" w:firstLineChars="200"/>
        <w:rPr>
          <w:rFonts w:hint="eastAsia" w:ascii="宋体" w:hAnsi="宋体" w:eastAsia="宋体" w:cs="宋体"/>
          <w:spacing w:val="-3"/>
          <w:position w:val="27"/>
          <w:sz w:val="28"/>
          <w:szCs w:val="28"/>
        </w:rPr>
      </w:pPr>
      <w:r>
        <w:rPr>
          <w:rFonts w:hint="eastAsia" w:ascii="宋体" w:hAnsi="宋体" w:eastAsia="宋体" w:cs="宋体"/>
          <w:spacing w:val="-3"/>
          <w:position w:val="27"/>
          <w:sz w:val="28"/>
          <w:szCs w:val="28"/>
        </w:rPr>
        <w:t>绩效评价目的对已完成工程的数量、质量、时效、成本进行考核，对象为建筑施工单位，范围为施工全工程。绩效评价原则公平公正实事求是、评价指标体系(附 表说明)、评价方法评分制、评价标准由建设单位确定评价标准。绩效评价工作过程从产出指标方面的数量、质量、  时效、成本进行评价，从效益指标的社会效益、生态效益、和可持续影响进行评价，从市民的满意度进行评价。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697" w:lineRule="exact"/>
        <w:ind w:left="0" w:leftChars="0" w:firstLine="548" w:firstLineChars="200"/>
        <w:rPr>
          <w:rFonts w:hint="eastAsia" w:ascii="宋体" w:hAnsi="宋体" w:eastAsia="宋体" w:cs="宋体"/>
          <w:spacing w:val="-3"/>
          <w:position w:val="27"/>
          <w:sz w:val="28"/>
          <w:szCs w:val="28"/>
        </w:rPr>
      </w:pPr>
      <w:r>
        <w:rPr>
          <w:rFonts w:hint="eastAsia" w:ascii="宋体" w:hAnsi="宋体" w:eastAsia="宋体" w:cs="宋体"/>
          <w:spacing w:val="-3"/>
          <w:position w:val="27"/>
          <w:sz w:val="28"/>
          <w:szCs w:val="28"/>
        </w:rPr>
        <w:t>三、 综合评价情况及评价结论(附相关评分表)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697" w:lineRule="exact"/>
        <w:ind w:left="0" w:leftChars="0" w:firstLine="548" w:firstLineChars="200"/>
        <w:rPr>
          <w:rFonts w:hint="eastAsia" w:ascii="宋体" w:hAnsi="宋体" w:eastAsia="宋体" w:cs="宋体"/>
          <w:spacing w:val="-3"/>
          <w:position w:val="27"/>
          <w:sz w:val="28"/>
          <w:szCs w:val="28"/>
        </w:rPr>
      </w:pPr>
      <w:r>
        <w:rPr>
          <w:rFonts w:hint="eastAsia" w:ascii="宋体" w:hAnsi="宋体" w:eastAsia="宋体" w:cs="宋体"/>
          <w:spacing w:val="-3"/>
          <w:position w:val="27"/>
          <w:sz w:val="28"/>
          <w:szCs w:val="28"/>
        </w:rPr>
        <w:t>评价情况总分100分，合计得分96分。本工程总体上 达到了预期效果，达到提升城市品位、完善城市功能、塑造城市形象的目的。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697" w:lineRule="exact"/>
        <w:ind w:left="0" w:leftChars="0" w:firstLine="548" w:firstLineChars="200"/>
        <w:rPr>
          <w:rFonts w:hint="eastAsia" w:ascii="宋体" w:hAnsi="宋体" w:eastAsia="宋体" w:cs="宋体"/>
          <w:spacing w:val="-3"/>
          <w:position w:val="27"/>
          <w:sz w:val="28"/>
          <w:szCs w:val="28"/>
        </w:rPr>
      </w:pPr>
      <w:r>
        <w:rPr>
          <w:rFonts w:hint="eastAsia" w:ascii="宋体" w:hAnsi="宋体" w:eastAsia="宋体" w:cs="宋体"/>
          <w:spacing w:val="-3"/>
          <w:position w:val="27"/>
          <w:sz w:val="28"/>
          <w:szCs w:val="28"/>
        </w:rPr>
        <w:t>四、绩效评价指标分析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697" w:lineRule="exact"/>
        <w:ind w:left="0" w:leftChars="0" w:firstLine="548" w:firstLineChars="200"/>
        <w:rPr>
          <w:rFonts w:hint="eastAsia" w:ascii="宋体" w:hAnsi="宋体" w:eastAsia="宋体" w:cs="宋体"/>
          <w:spacing w:val="-3"/>
          <w:position w:val="27"/>
          <w:sz w:val="28"/>
          <w:szCs w:val="28"/>
        </w:rPr>
      </w:pPr>
      <w:r>
        <w:rPr>
          <w:rFonts w:hint="eastAsia" w:ascii="宋体" w:hAnsi="宋体" w:eastAsia="宋体" w:cs="宋体"/>
          <w:spacing w:val="-3"/>
          <w:position w:val="27"/>
          <w:sz w:val="28"/>
          <w:szCs w:val="28"/>
        </w:rPr>
        <w:t>(一)项目决策情况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697" w:lineRule="exact"/>
        <w:ind w:left="0" w:leftChars="0" w:firstLine="548" w:firstLineChars="200"/>
        <w:rPr>
          <w:rFonts w:hint="eastAsia" w:ascii="宋体" w:hAnsi="宋体" w:eastAsia="宋体" w:cs="宋体"/>
          <w:spacing w:val="-3"/>
          <w:position w:val="27"/>
          <w:sz w:val="28"/>
          <w:szCs w:val="28"/>
        </w:rPr>
      </w:pPr>
      <w:r>
        <w:rPr>
          <w:rFonts w:hint="eastAsia" w:ascii="宋体" w:hAnsi="宋体" w:eastAsia="宋体" w:cs="宋体"/>
          <w:spacing w:val="-3"/>
          <w:position w:val="27"/>
          <w:sz w:val="28"/>
          <w:szCs w:val="28"/>
        </w:rPr>
        <w:t>符合项目决策流程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697" w:lineRule="exact"/>
        <w:ind w:left="0" w:leftChars="0" w:firstLine="548" w:firstLineChars="200"/>
        <w:rPr>
          <w:rFonts w:hint="eastAsia" w:ascii="宋体" w:hAnsi="宋体" w:eastAsia="宋体" w:cs="宋体"/>
          <w:spacing w:val="-3"/>
          <w:position w:val="27"/>
          <w:sz w:val="28"/>
          <w:szCs w:val="28"/>
        </w:rPr>
      </w:pPr>
      <w:r>
        <w:rPr>
          <w:rFonts w:hint="eastAsia" w:ascii="宋体" w:hAnsi="宋体" w:eastAsia="宋体" w:cs="宋体"/>
          <w:spacing w:val="-3"/>
          <w:position w:val="27"/>
          <w:sz w:val="28"/>
          <w:szCs w:val="28"/>
        </w:rPr>
        <w:t>(二)项目过程情况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697" w:lineRule="exact"/>
        <w:ind w:left="0" w:leftChars="0" w:firstLine="548" w:firstLineChars="200"/>
        <w:rPr>
          <w:rFonts w:hint="eastAsia" w:ascii="宋体" w:hAnsi="宋体" w:eastAsia="宋体" w:cs="宋体"/>
          <w:spacing w:val="-3"/>
          <w:position w:val="27"/>
          <w:sz w:val="28"/>
          <w:szCs w:val="28"/>
        </w:rPr>
      </w:pPr>
      <w:r>
        <w:rPr>
          <w:rFonts w:hint="eastAsia" w:ascii="宋体" w:hAnsi="宋体" w:eastAsia="宋体" w:cs="宋体"/>
          <w:spacing w:val="-3"/>
          <w:position w:val="27"/>
          <w:sz w:val="28"/>
          <w:szCs w:val="28"/>
        </w:rPr>
        <w:t>施工数量达标、质量合格、时效良好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697" w:lineRule="exact"/>
        <w:ind w:left="0" w:leftChars="0" w:firstLine="548" w:firstLineChars="200"/>
        <w:rPr>
          <w:rFonts w:hint="eastAsia" w:ascii="宋体" w:hAnsi="宋体" w:eastAsia="宋体" w:cs="宋体"/>
          <w:spacing w:val="-3"/>
          <w:position w:val="27"/>
          <w:sz w:val="28"/>
          <w:szCs w:val="28"/>
        </w:rPr>
      </w:pPr>
      <w:r>
        <w:rPr>
          <w:rFonts w:hint="eastAsia" w:ascii="宋体" w:hAnsi="宋体" w:eastAsia="宋体" w:cs="宋体"/>
          <w:spacing w:val="-3"/>
          <w:position w:val="27"/>
          <w:sz w:val="28"/>
          <w:szCs w:val="28"/>
        </w:rPr>
        <w:t>(三)项目产出情况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697" w:lineRule="exact"/>
        <w:ind w:left="0" w:leftChars="0" w:firstLine="548" w:firstLineChars="200"/>
        <w:rPr>
          <w:rFonts w:hint="eastAsia" w:ascii="宋体" w:hAnsi="宋体" w:eastAsia="宋体" w:cs="宋体"/>
          <w:spacing w:val="-3"/>
          <w:position w:val="27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-3"/>
          <w:position w:val="27"/>
          <w:sz w:val="28"/>
          <w:szCs w:val="28"/>
          <w:lang w:val="en-US" w:eastAsia="zh-CN"/>
        </w:rPr>
        <w:t>253个排水单元雨污分流改造完成；先后对桃花龙河、水厂路渠、桃花路景观渠、昌南辅道渠进行清淤作业，全长9.3km。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697" w:lineRule="exact"/>
        <w:ind w:left="0" w:leftChars="0" w:firstLine="548" w:firstLineChars="200"/>
        <w:rPr>
          <w:rFonts w:hint="eastAsia" w:ascii="宋体" w:hAnsi="宋体" w:eastAsia="宋体" w:cs="宋体"/>
          <w:spacing w:val="-3"/>
          <w:position w:val="27"/>
          <w:sz w:val="28"/>
          <w:szCs w:val="28"/>
        </w:rPr>
      </w:pPr>
      <w:r>
        <w:rPr>
          <w:rFonts w:hint="eastAsia" w:ascii="宋体" w:hAnsi="宋体" w:eastAsia="宋体" w:cs="宋体"/>
          <w:spacing w:val="-3"/>
          <w:position w:val="27"/>
          <w:sz w:val="28"/>
          <w:szCs w:val="28"/>
        </w:rPr>
        <w:t>(四)项目效益情况</w:t>
      </w:r>
      <w:r>
        <w:rPr>
          <w:rFonts w:hint="eastAsia" w:ascii="宋体" w:hAnsi="宋体" w:eastAsia="宋体" w:cs="宋体"/>
          <w:spacing w:val="-3"/>
          <w:position w:val="2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4908550</wp:posOffset>
                </wp:positionH>
                <wp:positionV relativeFrom="paragraph">
                  <wp:posOffset>-57785</wp:posOffset>
                </wp:positionV>
                <wp:extent cx="394335" cy="38163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20" w:line="560" w:lineRule="exact"/>
                              <w:ind w:left="20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6.5pt;margin-top:-4.55pt;height:30.05pt;width:31.05pt;z-index:251659264;mso-width-relative:page;mso-height-relative:page;" filled="f" stroked="f" coordsize="21600,21600" o:gfxdata="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ihrYP2QAAAAkBAAAPAAAAAAAAAAEAIAAAACIAAABkcnMvZG93bnJldi54bWxQSwEC&#10;FAAUAAAACACHTuJAONCyCboBAABxAwAADgAAAAAAAAABACAAAAAoAQAAZHJzL2Uyb0RvYy54bWxQ&#10;SwUGAAAAAAYABgBZAQAAV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 w:line="560" w:lineRule="exact"/>
                        <w:ind w:left="20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697" w:lineRule="exact"/>
        <w:ind w:firstLine="548" w:firstLineChars="200"/>
        <w:rPr>
          <w:rFonts w:hint="eastAsia" w:ascii="宋体" w:hAnsi="宋体" w:eastAsia="宋体" w:cs="宋体"/>
          <w:spacing w:val="-3"/>
          <w:position w:val="27"/>
          <w:sz w:val="28"/>
          <w:szCs w:val="28"/>
        </w:rPr>
      </w:pPr>
      <w:r>
        <w:rPr>
          <w:rFonts w:hint="eastAsia" w:ascii="宋体" w:hAnsi="宋体" w:eastAsia="宋体" w:cs="宋体"/>
          <w:spacing w:val="-3"/>
          <w:position w:val="27"/>
          <w:sz w:val="28"/>
          <w:szCs w:val="28"/>
        </w:rPr>
        <w:t>人居环境改善、有效提升城市整体环境、有效提升城市形象、</w:t>
      </w:r>
      <w:r>
        <w:rPr>
          <w:rFonts w:hint="eastAsia" w:ascii="宋体" w:hAnsi="宋体" w:eastAsia="宋体" w:cs="宋体"/>
          <w:spacing w:val="-3"/>
          <w:position w:val="27"/>
          <w:sz w:val="28"/>
          <w:szCs w:val="28"/>
          <w:lang w:eastAsia="zh-CN"/>
        </w:rPr>
        <w:t>改善</w:t>
      </w:r>
      <w:r>
        <w:rPr>
          <w:rFonts w:hint="eastAsia" w:ascii="宋体" w:hAnsi="宋体" w:eastAsia="宋体" w:cs="宋体"/>
          <w:spacing w:val="-3"/>
          <w:position w:val="27"/>
          <w:sz w:val="28"/>
          <w:szCs w:val="28"/>
        </w:rPr>
        <w:t>居民居住环境。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697" w:lineRule="exact"/>
        <w:ind w:left="0" w:leftChars="0"/>
        <w:rPr>
          <w:rFonts w:hint="eastAsia" w:ascii="宋体" w:hAnsi="宋体" w:eastAsia="宋体" w:cs="宋体"/>
          <w:spacing w:val="-3"/>
          <w:position w:val="27"/>
          <w:sz w:val="28"/>
          <w:szCs w:val="28"/>
        </w:rPr>
      </w:pPr>
      <w:r>
        <w:rPr>
          <w:rFonts w:hint="eastAsia" w:ascii="宋体" w:hAnsi="宋体" w:eastAsia="宋体" w:cs="宋体"/>
          <w:spacing w:val="-3"/>
          <w:position w:val="27"/>
          <w:sz w:val="28"/>
          <w:szCs w:val="28"/>
        </w:rPr>
        <w:t>主要经验及做法、存在的问题及原因分析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697" w:lineRule="exact"/>
        <w:ind w:left="0" w:leftChars="0" w:firstLine="548" w:firstLineChars="200"/>
        <w:rPr>
          <w:rFonts w:hint="eastAsia" w:ascii="宋体" w:hAnsi="宋体" w:eastAsia="宋体" w:cs="宋体"/>
          <w:spacing w:val="-3"/>
          <w:position w:val="27"/>
          <w:sz w:val="28"/>
          <w:szCs w:val="28"/>
        </w:rPr>
      </w:pPr>
      <w:r>
        <w:rPr>
          <w:rFonts w:hint="eastAsia" w:ascii="宋体" w:hAnsi="宋体" w:eastAsia="宋体" w:cs="宋体"/>
          <w:spacing w:val="-3"/>
          <w:position w:val="27"/>
          <w:sz w:val="28"/>
          <w:szCs w:val="28"/>
        </w:rPr>
        <w:t>我司将在组织施工过程中，克服各种不利条件，以饱满的 精神，拼搏、求实的工作作风，创一流的管理水平， 一流的工程质量， 一流的工程速度，以确保达到合格工程及以上质量标准，顺利完成本工程的建设任务。</w:t>
      </w:r>
    </w:p>
    <w:p>
      <w:pPr>
        <w:widowControl/>
        <w:numPr>
          <w:numId w:val="0"/>
        </w:numPr>
        <w:kinsoku w:val="0"/>
        <w:autoSpaceDE w:val="0"/>
        <w:autoSpaceDN w:val="0"/>
        <w:adjustRightInd w:val="0"/>
        <w:snapToGrid w:val="0"/>
        <w:spacing w:before="244" w:line="620" w:lineRule="exact"/>
        <w:ind w:firstLine="642" w:firstLineChars="200"/>
        <w:jc w:val="left"/>
        <w:textAlignment w:val="baseline"/>
        <w:rPr>
          <w:rFonts w:hint="eastAsia" w:ascii="仿宋" w:hAnsi="仿宋" w:eastAsia="仿宋" w:cs="仿宋"/>
          <w:b/>
          <w:bCs/>
          <w:snapToGrid w:val="0"/>
          <w:color w:val="000000"/>
          <w:spacing w:val="5"/>
          <w:kern w:val="0"/>
          <w:position w:val="23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snapToGrid w:val="0"/>
          <w:color w:val="000000"/>
          <w:spacing w:val="5"/>
          <w:kern w:val="0"/>
          <w:position w:val="23"/>
          <w:sz w:val="31"/>
          <w:szCs w:val="31"/>
          <w:lang w:val="en-US" w:eastAsia="zh-CN"/>
        </w:rPr>
        <w:t>六、</w:t>
      </w:r>
      <w:r>
        <w:rPr>
          <w:rFonts w:hint="eastAsia" w:ascii="仿宋" w:hAnsi="仿宋" w:eastAsia="仿宋" w:cs="仿宋"/>
          <w:b/>
          <w:bCs/>
          <w:snapToGrid w:val="0"/>
          <w:color w:val="000000"/>
          <w:spacing w:val="5"/>
          <w:kern w:val="0"/>
          <w:position w:val="23"/>
          <w:sz w:val="31"/>
          <w:szCs w:val="31"/>
        </w:rPr>
        <w:t>有关建议</w:t>
      </w:r>
    </w:p>
    <w:p>
      <w:pPr>
        <w:pStyle w:val="2"/>
        <w:ind w:firstLine="630" w:firstLineChars="300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无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44" w:line="620" w:lineRule="exact"/>
        <w:ind w:left="625"/>
        <w:jc w:val="left"/>
        <w:textAlignment w:val="baseline"/>
        <w:rPr>
          <w:rFonts w:hint="eastAsia" w:ascii="仿宋" w:hAnsi="仿宋" w:eastAsia="仿宋" w:cs="仿宋"/>
          <w:b/>
          <w:bCs/>
          <w:snapToGrid w:val="0"/>
          <w:color w:val="000000"/>
          <w:spacing w:val="5"/>
          <w:kern w:val="0"/>
          <w:position w:val="23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snapToGrid w:val="0"/>
          <w:color w:val="000000"/>
          <w:spacing w:val="5"/>
          <w:kern w:val="0"/>
          <w:position w:val="23"/>
          <w:sz w:val="31"/>
          <w:szCs w:val="31"/>
        </w:rPr>
        <w:t>七、 其他需要说明的问题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44" w:line="620" w:lineRule="exact"/>
        <w:ind w:left="625"/>
        <w:jc w:val="left"/>
        <w:textAlignment w:val="baseline"/>
        <w:rPr>
          <w:rFonts w:ascii="仿宋" w:hAnsi="仿宋" w:eastAsia="仿宋" w:cs="仿宋"/>
          <w:snapToGrid w:val="0"/>
          <w:color w:val="000000"/>
          <w:spacing w:val="5"/>
          <w:kern w:val="0"/>
          <w:position w:val="23"/>
          <w:sz w:val="31"/>
          <w:szCs w:val="31"/>
        </w:rPr>
      </w:pPr>
      <w:r>
        <w:rPr>
          <w:rFonts w:hint="eastAsia" w:ascii="仿宋" w:hAnsi="仿宋" w:eastAsia="仿宋" w:cs="仿宋"/>
          <w:snapToGrid w:val="0"/>
          <w:color w:val="000000"/>
          <w:spacing w:val="5"/>
          <w:kern w:val="0"/>
          <w:position w:val="23"/>
          <w:sz w:val="31"/>
          <w:szCs w:val="31"/>
        </w:rPr>
        <w:t>无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DE5E0B"/>
    <w:multiLevelType w:val="singleLevel"/>
    <w:tmpl w:val="D1DE5E0B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2ZTE2NjE5YTJjMWE1NDY3MjZjNjg2MmMwYjhjOWUifQ=="/>
  </w:docVars>
  <w:rsids>
    <w:rsidRoot w:val="5C6E38F2"/>
    <w:rsid w:val="00151558"/>
    <w:rsid w:val="009C6867"/>
    <w:rsid w:val="00C63CF7"/>
    <w:rsid w:val="00FD566C"/>
    <w:rsid w:val="022F2C26"/>
    <w:rsid w:val="0BFA79EE"/>
    <w:rsid w:val="0DED08D9"/>
    <w:rsid w:val="1FD06C40"/>
    <w:rsid w:val="22F31295"/>
    <w:rsid w:val="29AB331F"/>
    <w:rsid w:val="359C0AFE"/>
    <w:rsid w:val="389D6527"/>
    <w:rsid w:val="3E3F2BBE"/>
    <w:rsid w:val="415369E9"/>
    <w:rsid w:val="453942C3"/>
    <w:rsid w:val="49754A78"/>
    <w:rsid w:val="49CA307D"/>
    <w:rsid w:val="4CC2136A"/>
    <w:rsid w:val="58861322"/>
    <w:rsid w:val="5C1C4411"/>
    <w:rsid w:val="5C6E38F2"/>
    <w:rsid w:val="73C1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qFormat/>
    <w:uiPriority w:val="0"/>
    <w:pPr>
      <w:ind w:firstLine="420" w:firstLineChars="100"/>
    </w:pPr>
    <w:rPr>
      <w:rFonts w:ascii="宋体"/>
    </w:rPr>
  </w:style>
  <w:style w:type="paragraph" w:styleId="3">
    <w:name w:val="Balloon Text"/>
    <w:basedOn w:val="1"/>
    <w:link w:val="6"/>
    <w:qFormat/>
    <w:uiPriority w:val="0"/>
    <w:rPr>
      <w:sz w:val="18"/>
      <w:szCs w:val="18"/>
    </w:rPr>
  </w:style>
  <w:style w:type="character" w:customStyle="1" w:styleId="6">
    <w:name w:val="批注框文本 字符"/>
    <w:basedOn w:val="5"/>
    <w:link w:val="3"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2934</Words>
  <Characters>3213</Characters>
  <Lines>24</Lines>
  <Paragraphs>6</Paragraphs>
  <TotalTime>1</TotalTime>
  <ScaleCrop>false</ScaleCrop>
  <LinksUpToDate>false</LinksUpToDate>
  <CharactersWithSpaces>3280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2023-04-04T07:36:00Z</dcterms:created>
  <dc:creator>大嘴</dc:creator>
  <cp:lastModifiedBy>大嘴</cp:lastModifiedBy>
  <cp:lastPrinted>2023-04-28T01:28:00Z</cp:lastPrinted>
  <dcterms:modified xsi:type="dcterms:W3CDTF">2023-05-30T08:05:59Z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7F2F4CC22BFB4BA89252610EF1AB8399_13</vt:lpwstr>
  </property>
</Properties>
</file>