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sz w:val="44"/>
          <w:szCs w:val="36"/>
        </w:rPr>
      </w:pPr>
      <w:r>
        <w:rPr>
          <w:rFonts w:hint="eastAsia" w:ascii="黑体" w:hAnsi="黑体" w:eastAsia="黑体"/>
          <w:sz w:val="44"/>
          <w:szCs w:val="36"/>
        </w:rPr>
        <w:t>南昌市西湖区卫生健康委员会</w:t>
      </w:r>
    </w:p>
    <w:p>
      <w:pPr>
        <w:spacing w:line="600" w:lineRule="exact"/>
        <w:jc w:val="center"/>
        <w:rPr>
          <w:rFonts w:hint="eastAsia" w:ascii="黑体" w:eastAsia="黑体"/>
          <w:sz w:val="44"/>
          <w:szCs w:val="36"/>
        </w:rPr>
      </w:pPr>
      <w:r>
        <w:rPr>
          <w:rFonts w:hint="eastAsia" w:ascii="黑体" w:eastAsia="黑体"/>
          <w:sz w:val="44"/>
          <w:szCs w:val="36"/>
        </w:rPr>
        <w:t>2021年度部门决算</w:t>
      </w:r>
    </w:p>
    <w:p>
      <w:pPr>
        <w:spacing w:line="600" w:lineRule="exact"/>
        <w:jc w:val="center"/>
        <w:rPr>
          <w:rFonts w:hint="eastAsia" w:ascii="黑体" w:eastAsia="黑体"/>
          <w:sz w:val="40"/>
          <w:szCs w:val="36"/>
        </w:rPr>
      </w:pPr>
      <w:r>
        <w:rPr>
          <w:rFonts w:hint="eastAsia" w:ascii="黑体" w:eastAsia="黑体"/>
          <w:sz w:val="40"/>
          <w:szCs w:val="36"/>
        </w:rPr>
        <w:t>目    录</w:t>
      </w:r>
    </w:p>
    <w:p>
      <w:pPr>
        <w:widowControl/>
        <w:spacing w:line="600" w:lineRule="exact"/>
        <w:ind w:firstLine="640"/>
        <w:jc w:val="left"/>
        <w:rPr>
          <w:rFonts w:hint="eastAsia" w:ascii="仿宋_GB2312" w:eastAsia="仿宋_GB2312"/>
          <w:sz w:val="32"/>
          <w:szCs w:val="30"/>
        </w:rPr>
      </w:pPr>
    </w:p>
    <w:p>
      <w:pPr>
        <w:widowControl/>
        <w:spacing w:line="600" w:lineRule="exact"/>
        <w:ind w:firstLine="640"/>
        <w:jc w:val="left"/>
        <w:rPr>
          <w:rFonts w:hint="eastAsia" w:ascii="黑体" w:hAnsi="黑体" w:eastAsia="黑体"/>
          <w:b/>
          <w:sz w:val="32"/>
          <w:szCs w:val="32"/>
        </w:rPr>
      </w:pPr>
      <w:r>
        <w:rPr>
          <w:rFonts w:hint="eastAsia" w:ascii="黑体" w:hAnsi="黑体" w:eastAsia="黑体"/>
          <w:b/>
          <w:sz w:val="32"/>
          <w:szCs w:val="32"/>
        </w:rPr>
        <w:t xml:space="preserve">第一部分  </w:t>
      </w:r>
      <w:r>
        <w:rPr>
          <w:rFonts w:hint="eastAsia" w:ascii="黑体" w:hAnsi="黑体" w:eastAsia="黑体"/>
          <w:sz w:val="32"/>
          <w:szCs w:val="32"/>
        </w:rPr>
        <w:t>南昌市西湖区卫生健康委员会部门</w:t>
      </w:r>
      <w:r>
        <w:rPr>
          <w:rFonts w:hint="eastAsia" w:ascii="黑体" w:hAnsi="黑体" w:eastAsia="黑体"/>
          <w:b/>
          <w:sz w:val="32"/>
          <w:szCs w:val="32"/>
        </w:rPr>
        <w:t>概况</w:t>
      </w:r>
    </w:p>
    <w:p>
      <w:pPr>
        <w:widowControl/>
        <w:spacing w:line="600" w:lineRule="exact"/>
        <w:ind w:firstLine="640"/>
        <w:jc w:val="left"/>
        <w:rPr>
          <w:rFonts w:hint="eastAsia" w:ascii="仿宋" w:hAnsi="仿宋" w:eastAsia="仿宋"/>
          <w:sz w:val="32"/>
          <w:szCs w:val="30"/>
        </w:rPr>
      </w:pPr>
      <w:r>
        <w:rPr>
          <w:rFonts w:hint="eastAsia" w:ascii="仿宋_GB2312" w:eastAsia="仿宋_GB2312"/>
          <w:b/>
          <w:sz w:val="32"/>
          <w:szCs w:val="30"/>
        </w:rPr>
        <w:t xml:space="preserve">    </w:t>
      </w:r>
      <w:r>
        <w:rPr>
          <w:rFonts w:hint="eastAsia" w:ascii="仿宋" w:hAnsi="仿宋" w:eastAsia="仿宋"/>
          <w:sz w:val="32"/>
          <w:szCs w:val="30"/>
        </w:rPr>
        <w:t>一、部门主要职责</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二、部门基本情况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第二部分  2021年度部门决算表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一、收入支出决算总表</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二、收入决算表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三、支出决算表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四、财政拨款收入支出决算总表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五、一般公共预算财政拨款支出决算表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六、一般公共预算财政拨款基本支出决算表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七、一般公共预算财政拨款“三公”经费支出决算</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表</w:t>
      </w:r>
    </w:p>
    <w:p>
      <w:pPr>
        <w:widowControl/>
        <w:spacing w:line="600" w:lineRule="exact"/>
        <w:ind w:firstLine="64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八、政府性基金预算财政拨款收入支出决算表</w:t>
      </w:r>
    </w:p>
    <w:p>
      <w:pPr>
        <w:widowControl/>
        <w:spacing w:line="600" w:lineRule="exact"/>
        <w:ind w:left="1278" w:leftChars="304" w:hanging="640" w:hangingChars="20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九、国有资本经营预算财政拨款支出决算表</w:t>
      </w:r>
    </w:p>
    <w:p>
      <w:pPr>
        <w:widowControl/>
        <w:spacing w:line="600" w:lineRule="exact"/>
        <w:ind w:left="1278" w:leftChars="304" w:hanging="640" w:hangingChars="200"/>
        <w:jc w:val="left"/>
        <w:rPr>
          <w:rFonts w:hint="eastAsia" w:ascii="仿宋" w:hAnsi="仿宋" w:eastAsia="仿宋" w:cs="宋体"/>
          <w:kern w:val="0"/>
          <w:sz w:val="32"/>
          <w:szCs w:val="32"/>
        </w:rPr>
      </w:pPr>
      <w:r>
        <w:rPr>
          <w:rFonts w:hint="eastAsia" w:ascii="仿宋" w:hAnsi="仿宋" w:eastAsia="仿宋" w:cs="宋体"/>
          <w:kern w:val="0"/>
          <w:sz w:val="32"/>
          <w:szCs w:val="32"/>
        </w:rPr>
        <w:t xml:space="preserve">    十、国有资产占用情况表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第三部分  2021年度部门决算情况说明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一、收入决算情况说明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二、支出决算情况说明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三、财政拨款支出决算情况说明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四、一般公共预算财政拨款基本支出决算情况说明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五、一般公共预算财政拨款“三公”经费支出决算</w:t>
      </w:r>
    </w:p>
    <w:p>
      <w:pPr>
        <w:widowControl/>
        <w:spacing w:line="600" w:lineRule="exact"/>
        <w:jc w:val="left"/>
        <w:rPr>
          <w:rFonts w:hint="eastAsia" w:ascii="仿宋" w:hAnsi="仿宋" w:eastAsia="仿宋"/>
          <w:sz w:val="32"/>
          <w:szCs w:val="30"/>
        </w:rPr>
      </w:pPr>
      <w:r>
        <w:rPr>
          <w:rFonts w:hint="eastAsia" w:ascii="仿宋" w:hAnsi="仿宋" w:eastAsia="仿宋"/>
          <w:sz w:val="32"/>
          <w:szCs w:val="30"/>
        </w:rPr>
        <w:t xml:space="preserve">    情况说明</w:t>
      </w:r>
    </w:p>
    <w:p>
      <w:pPr>
        <w:widowControl/>
        <w:spacing w:line="600" w:lineRule="exact"/>
        <w:ind w:firstLine="1280" w:firstLineChars="400"/>
        <w:jc w:val="left"/>
        <w:rPr>
          <w:rFonts w:hint="eastAsia" w:ascii="仿宋" w:hAnsi="仿宋" w:eastAsia="仿宋"/>
          <w:sz w:val="32"/>
          <w:szCs w:val="30"/>
        </w:rPr>
      </w:pPr>
      <w:r>
        <w:rPr>
          <w:rFonts w:hint="eastAsia" w:ascii="仿宋" w:hAnsi="仿宋" w:eastAsia="仿宋"/>
          <w:sz w:val="32"/>
          <w:szCs w:val="30"/>
        </w:rPr>
        <w:t>六、机关运行经费支出情况说明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七、政府采购支出情况说明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八、国有资产占用情况说明</w:t>
      </w:r>
    </w:p>
    <w:p>
      <w:pPr>
        <w:widowControl/>
        <w:spacing w:line="600" w:lineRule="exact"/>
        <w:ind w:firstLine="640"/>
        <w:jc w:val="left"/>
        <w:rPr>
          <w:rFonts w:hint="eastAsia" w:ascii="仿宋" w:hAnsi="仿宋" w:eastAsia="仿宋"/>
          <w:sz w:val="32"/>
          <w:szCs w:val="30"/>
        </w:rPr>
      </w:pPr>
      <w:r>
        <w:rPr>
          <w:rFonts w:hint="eastAsia" w:ascii="仿宋" w:hAnsi="仿宋" w:eastAsia="仿宋"/>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r>
        <w:rPr>
          <w:rFonts w:hint="eastAsia" w:ascii="宋体" w:hAnsi="宋体"/>
          <w:b/>
          <w:sz w:val="32"/>
          <w:szCs w:val="30"/>
        </w:rPr>
        <w:t xml:space="preserve">第一部分  </w:t>
      </w:r>
      <w:r>
        <w:rPr>
          <w:rFonts w:hint="eastAsia" w:ascii="宋体" w:hAnsi="宋体"/>
          <w:b/>
          <w:sz w:val="32"/>
          <w:szCs w:val="32"/>
        </w:rPr>
        <w:t>南昌市西湖区卫生健康委员会部门</w:t>
      </w:r>
      <w:r>
        <w:rPr>
          <w:rFonts w:hint="eastAsia" w:ascii="宋体" w:hAnsi="宋体"/>
          <w:b/>
          <w:sz w:val="32"/>
          <w:szCs w:val="30"/>
        </w:rPr>
        <w:t>概况</w:t>
      </w:r>
    </w:p>
    <w:p>
      <w:pPr>
        <w:ind w:firstLine="630"/>
        <w:jc w:val="center"/>
        <w:rPr>
          <w:rFonts w:hint="eastAsia"/>
          <w:sz w:val="32"/>
          <w:szCs w:val="32"/>
        </w:rPr>
      </w:pPr>
    </w:p>
    <w:p>
      <w:pPr>
        <w:ind w:firstLine="630"/>
        <w:jc w:val="left"/>
        <w:rPr>
          <w:rFonts w:hint="eastAsia" w:ascii="黑体" w:hAnsi="黑体" w:eastAsia="黑体"/>
          <w:sz w:val="30"/>
          <w:szCs w:val="30"/>
        </w:rPr>
      </w:pPr>
      <w:r>
        <w:rPr>
          <w:rFonts w:hint="eastAsia" w:ascii="黑体" w:hAnsi="黑体" w:eastAsia="黑体"/>
          <w:sz w:val="30"/>
          <w:szCs w:val="30"/>
        </w:rPr>
        <w:t>一、部门主要职能</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根据《省委办公厅、省政府办公厅关于印发&lt;南昌市市县机构改革方案&gt;的通知》（赣厅字〔2018〕91号）和《区委办公室、区政府办公室关于印发&lt;南昌市西湖区机构改革实施方案&gt;的通知》（西办发〔2019〕2号）精神，组建西湖区卫生健康委员会，正科级建制。</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主要职责是：</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一）贯彻落实国家有关国民健康的政策和卫生健康事业发展的法律法规、政策、规划，受委托起草我区相关的规范性文件。拟定全区卫生健康事业发展相关政策、规划并组织实施，统筹规划卫生健康资源配置，指导区域卫生健康规划的编制和实施。制定并组织实施推进卫生健康基本公共服务均等化、普惠化、便捷化和公共资源向基层延伸等政策措施。</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二）落实公立医院党建工作责任。指导建立公立医院党的组织体系，强化公立医院党的领导，督促指导加强公立医院党建工作。根据行业主管部门自身职能强化行业指导，支持和帮助民营医疗机构开展党建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三）协调推进全区深化医药卫生体制改革，研究提出深化全区医药卫生体制改革政策、措施的建议。组织深化区属公立医院综合改革，推进管办分离，建立健全现代医院管理制度，制定并组织实施推动卫生健康公共服务提供主体多元化、提供方式多样化的政策措施。</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（四）贯彻执行国家免疫规划，制定并组织实施本区疾病预防控制规划以及严重危害人民健康公共卫生问题的干预措施。完善疾病预防控制体系。承担全区地方病、寄生虫病防治工作。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五）负责卫生应急工作。建立卫生应急体系和提升能力建设。组织指导突发公共卫生事件的预防控制、应急处置和各类突发公共事件的医疗卫生救援。负责报送传染病疫情信息和突发公共卫生事件应急处置信息。</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（六）协调推进落实国家、省、市应对人口老龄化政策措施，负责推进老年健康服务体系建设和医养结合工作。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七）负责卫生健康系统安全管理工作，负责职责范围内的职业健康、放射卫生、环境卫生、学校卫生、公共场所卫生、饮用水卫生等公共卫生的监督管理，负责传染病和职业病防治监督，健全卫生健康综合监督体系。负责职责范围内的生态环境保护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八）制定医疗机构、医疗服务行业管理办法并监督实施，建立医疗服务评价和监督管理体系。会同有关部门实施卫生健康专业技术人员资格标准。落实并组织实施国家、省、市关于医疗服务的规范、标准和卫生健康专业技术人员执业规则、服务规范。贯彻落实国家药物政策和国家基本药物制度，执行全省药物使用的相关政策措施，提出医疗服务和药品价格政策的建议。组织开展食品安全风险监测评估。</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（九）负责计划生育管理和服务工作，开展全区人口监测预警，研究提出全区人口与家庭发展相关政策建议，完善我区计划生育政策。</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（十）指导全区卫生健康工作，统筹推进全区卫生健康人才队伍建设。指导基层医疗卫生、妇幼健康服务体系和全科医生队伍建设。推进卫生健康科技创新发展。</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（十一）贯彻执行国家中医药事业发展的法律法规、政策和相关产业标准，拟订全区中医药事业发展的相关政策、规划并组织实施，承担全区中医医疗、预防、保健、康复及临床用药等的监督管理工作。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（十二）负责爱国卫生工作。组织开展全区爱国卫生运动。负责组织指导全区除“四害”工作。承担区爱国卫生运动委员会的日常工作。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（十三）负责全区重要会议和重大活动的医疗卫生保障工作。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（十四）承担区老龄工作委员会日常工作，指导区计划生育协会业务工作。</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（十五）完成区委、区政府交办的其他任务。</w:t>
      </w:r>
    </w:p>
    <w:p>
      <w:pPr>
        <w:autoSpaceDE w:val="0"/>
        <w:autoSpaceDN w:val="0"/>
        <w:adjustRightInd w:val="0"/>
        <w:spacing w:line="360" w:lineRule="auto"/>
        <w:ind w:firstLine="640"/>
        <w:rPr>
          <w:rFonts w:hint="eastAsia" w:ascii="仿宋" w:hAnsi="仿宋" w:eastAsia="仿宋"/>
          <w:sz w:val="30"/>
          <w:szCs w:val="30"/>
        </w:rPr>
      </w:pPr>
      <w:r>
        <w:rPr>
          <w:rFonts w:hint="eastAsia" w:ascii="仿宋" w:hAnsi="仿宋" w:eastAsia="仿宋"/>
          <w:sz w:val="30"/>
          <w:szCs w:val="30"/>
        </w:rPr>
        <w:t>（十六）职能转变。区卫生健康委员会应当牢固树立大卫生、大健康理念，推动实施健康中国战略，推进健康西湖建设，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生活困难群众倾斜。三是更加注重提高服务质量和水平，推进卫生健康基本公共服务均等化、普惠化、便捷化。四是协调推进深化医药卫生体制改革，加大公立医院改革力度，推进管办分离，推动卫生健康公共服务提供主体多元化，提供方式多样化。</w:t>
      </w:r>
    </w:p>
    <w:p>
      <w:pPr>
        <w:ind w:firstLine="630"/>
        <w:jc w:val="left"/>
        <w:rPr>
          <w:rFonts w:hint="eastAsia" w:ascii="黑体" w:hAnsi="黑体" w:eastAsia="黑体"/>
          <w:sz w:val="30"/>
          <w:szCs w:val="30"/>
        </w:rPr>
      </w:pPr>
      <w:r>
        <w:rPr>
          <w:rFonts w:hint="eastAsia" w:ascii="黑体" w:hAnsi="黑体" w:eastAsia="黑体"/>
          <w:sz w:val="30"/>
          <w:szCs w:val="30"/>
        </w:rPr>
        <w:t>二、部门基本情况</w:t>
      </w:r>
    </w:p>
    <w:p>
      <w:pPr>
        <w:ind w:firstLine="630"/>
        <w:jc w:val="left"/>
        <w:rPr>
          <w:rFonts w:hint="eastAsia" w:ascii="仿宋" w:hAnsi="仿宋" w:eastAsia="仿宋"/>
          <w:sz w:val="30"/>
          <w:szCs w:val="30"/>
        </w:rPr>
      </w:pPr>
      <w:r>
        <w:rPr>
          <w:rFonts w:hint="eastAsia" w:ascii="仿宋" w:hAnsi="仿宋" w:eastAsia="仿宋"/>
          <w:sz w:val="30"/>
          <w:szCs w:val="30"/>
        </w:rPr>
        <w:t>纳入本套部门决算汇编范围的独立核算单位共 8个，包括：南昌市西湖区卫生健康委员会本级，南昌市西湖区妇幼保健院，南昌市第七医院，南昌市西湖区疾病预防控制中心，南昌市西湖区卫生防治所，南昌市西湖区朝阳卫生院，南昌市西湖区卫生计生综合监督执法局，南昌市第六医院。</w:t>
      </w:r>
    </w:p>
    <w:p>
      <w:pPr>
        <w:ind w:firstLine="630"/>
        <w:jc w:val="left"/>
        <w:rPr>
          <w:rFonts w:hint="eastAsia" w:ascii="仿宋_GB2312" w:hAnsi="仿宋_GB2312" w:eastAsia="仿宋_GB2312"/>
          <w:color w:val="auto"/>
          <w:sz w:val="30"/>
          <w:szCs w:val="30"/>
          <w:lang w:eastAsia="zh-CN"/>
        </w:rPr>
      </w:pPr>
      <w:r>
        <w:rPr>
          <w:rFonts w:hint="eastAsia" w:ascii="仿宋_GB2312" w:hAnsi="仿宋_GB2312" w:eastAsia="仿宋_GB2312"/>
          <w:sz w:val="30"/>
          <w:szCs w:val="30"/>
        </w:rPr>
        <w:t>本部门202</w:t>
      </w:r>
      <w:r>
        <w:rPr>
          <w:rFonts w:hint="eastAsia" w:ascii="仿宋_GB2312" w:hAnsi="仿宋_GB2312" w:eastAsia="仿宋_GB2312"/>
          <w:sz w:val="30"/>
          <w:szCs w:val="30"/>
          <w:lang w:val="en-US" w:eastAsia="zh-CN"/>
        </w:rPr>
        <w:t>1</w:t>
      </w:r>
      <w:r>
        <w:rPr>
          <w:rFonts w:hint="eastAsia" w:ascii="仿宋_GB2312" w:hAnsi="仿宋_GB2312" w:eastAsia="仿宋_GB2312"/>
          <w:sz w:val="30"/>
          <w:szCs w:val="30"/>
        </w:rPr>
        <w:t xml:space="preserve">年年末实有人数 </w:t>
      </w:r>
      <w:r>
        <w:rPr>
          <w:rFonts w:hint="eastAsia" w:ascii="仿宋_GB2312" w:hAnsi="仿宋_GB2312" w:eastAsia="仿宋_GB2312"/>
          <w:sz w:val="30"/>
          <w:szCs w:val="30"/>
          <w:lang w:val="en-US" w:eastAsia="zh-CN"/>
        </w:rPr>
        <w:t>392</w:t>
      </w:r>
      <w:r>
        <w:rPr>
          <w:rFonts w:hint="eastAsia" w:ascii="仿宋_GB2312" w:hAnsi="仿宋_GB2312" w:eastAsia="仿宋_GB2312"/>
          <w:sz w:val="30"/>
          <w:szCs w:val="30"/>
        </w:rPr>
        <w:t>人，其中在职人员</w:t>
      </w:r>
      <w:r>
        <w:rPr>
          <w:rFonts w:hint="eastAsia" w:ascii="仿宋_GB2312" w:hAnsi="仿宋_GB2312" w:eastAsia="仿宋_GB2312"/>
          <w:sz w:val="30"/>
          <w:szCs w:val="30"/>
          <w:lang w:val="en-US" w:eastAsia="zh-CN"/>
        </w:rPr>
        <w:t>392</w:t>
      </w:r>
      <w:r>
        <w:rPr>
          <w:rFonts w:hint="eastAsia" w:ascii="仿宋_GB2312" w:hAnsi="仿宋_GB2312" w:eastAsia="仿宋_GB2312"/>
          <w:sz w:val="30"/>
          <w:szCs w:val="30"/>
        </w:rPr>
        <w:t xml:space="preserve"> 人，离休人员 </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 xml:space="preserve">人，退休人员 </w:t>
      </w:r>
      <w:r>
        <w:rPr>
          <w:rFonts w:hint="eastAsia" w:ascii="仿宋_GB2312" w:hAnsi="仿宋_GB2312" w:eastAsia="仿宋_GB2312"/>
          <w:sz w:val="30"/>
          <w:szCs w:val="30"/>
          <w:lang w:val="en-US" w:eastAsia="zh-CN"/>
        </w:rPr>
        <w:t>0</w:t>
      </w:r>
      <w:r>
        <w:rPr>
          <w:rFonts w:hint="eastAsia" w:ascii="仿宋_GB2312" w:hAnsi="仿宋_GB2312" w:eastAsia="仿宋_GB2312"/>
          <w:sz w:val="30"/>
          <w:szCs w:val="30"/>
        </w:rPr>
        <w:t xml:space="preserve"> </w:t>
      </w:r>
      <w:r>
        <w:rPr>
          <w:rFonts w:hint="eastAsia" w:ascii="仿宋_GB2312" w:hAnsi="仿宋_GB2312" w:eastAsia="仿宋_GB2312"/>
          <w:color w:val="auto"/>
          <w:sz w:val="30"/>
          <w:szCs w:val="30"/>
        </w:rPr>
        <w:t>人</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lang w:val="en-US" w:eastAsia="zh-CN"/>
        </w:rPr>
        <w:t>不含</w:t>
      </w:r>
      <w:r>
        <w:rPr>
          <w:rFonts w:hint="eastAsia" w:ascii="仿宋_GB2312" w:hAnsi="仿宋_GB2312" w:eastAsia="仿宋_GB2312"/>
          <w:color w:val="auto"/>
          <w:sz w:val="30"/>
          <w:szCs w:val="30"/>
        </w:rPr>
        <w:t>由养老保险基金发放养老金的离退休人员</w:t>
      </w:r>
      <w:r>
        <w:rPr>
          <w:rFonts w:hint="eastAsia" w:ascii="仿宋_GB2312" w:hAnsi="仿宋_GB2312" w:eastAsia="仿宋_GB2312"/>
          <w:color w:val="auto"/>
          <w:sz w:val="30"/>
          <w:szCs w:val="30"/>
          <w:lang w:eastAsia="zh-CN"/>
        </w:rPr>
        <w:t>）</w:t>
      </w:r>
      <w:r>
        <w:rPr>
          <w:rFonts w:hint="eastAsia" w:ascii="仿宋_GB2312" w:hAnsi="仿宋_GB2312" w:eastAsia="仿宋_GB2312"/>
          <w:color w:val="auto"/>
          <w:sz w:val="30"/>
          <w:szCs w:val="30"/>
        </w:rPr>
        <w:t xml:space="preserve">；年末其他人员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 xml:space="preserve"> 人；年末学生人数 </w:t>
      </w:r>
      <w:r>
        <w:rPr>
          <w:rFonts w:hint="eastAsia" w:ascii="仿宋_GB2312" w:hAnsi="仿宋_GB2312" w:eastAsia="仿宋_GB2312"/>
          <w:color w:val="auto"/>
          <w:sz w:val="30"/>
          <w:szCs w:val="30"/>
          <w:lang w:val="en-US" w:eastAsia="zh-CN"/>
        </w:rPr>
        <w:t>0</w:t>
      </w:r>
      <w:r>
        <w:rPr>
          <w:rFonts w:hint="eastAsia" w:ascii="仿宋_GB2312" w:hAnsi="仿宋_GB2312" w:eastAsia="仿宋_GB2312"/>
          <w:color w:val="auto"/>
          <w:sz w:val="30"/>
          <w:szCs w:val="30"/>
        </w:rPr>
        <w:t>人</w:t>
      </w:r>
      <w:r>
        <w:rPr>
          <w:rFonts w:hint="eastAsia" w:ascii="仿宋_GB2312" w:hAnsi="仿宋_GB2312" w:eastAsia="仿宋_GB2312"/>
          <w:color w:val="auto"/>
          <w:sz w:val="30"/>
          <w:szCs w:val="30"/>
          <w:lang w:val="en-US" w:eastAsia="zh-CN"/>
        </w:rPr>
        <w:t>；</w:t>
      </w:r>
      <w:r>
        <w:rPr>
          <w:rFonts w:hint="eastAsia" w:ascii="仿宋_GB2312" w:hAnsi="仿宋_GB2312" w:eastAsia="仿宋_GB2312"/>
          <w:color w:val="auto"/>
          <w:sz w:val="30"/>
          <w:szCs w:val="30"/>
        </w:rPr>
        <w:t>由养老保险基金发放养老金的离退休人员</w:t>
      </w:r>
      <w:r>
        <w:rPr>
          <w:rFonts w:hint="eastAsia" w:ascii="仿宋_GB2312" w:hAnsi="仿宋_GB2312" w:eastAsia="仿宋_GB2312"/>
          <w:color w:val="auto"/>
          <w:sz w:val="30"/>
          <w:szCs w:val="30"/>
          <w:lang w:val="en-US" w:eastAsia="zh-CN"/>
        </w:rPr>
        <w:t xml:space="preserve"> 341</w:t>
      </w:r>
      <w:r>
        <w:rPr>
          <w:rFonts w:hint="eastAsia" w:ascii="仿宋_GB2312" w:hAnsi="仿宋_GB2312" w:eastAsia="仿宋_GB2312"/>
          <w:color w:val="auto"/>
          <w:sz w:val="30"/>
          <w:szCs w:val="30"/>
        </w:rPr>
        <w:t>人</w:t>
      </w:r>
      <w:r>
        <w:rPr>
          <w:rFonts w:hint="eastAsia" w:ascii="仿宋_GB2312" w:hAnsi="仿宋_GB2312" w:eastAsia="仿宋_GB2312"/>
          <w:color w:val="auto"/>
          <w:sz w:val="30"/>
          <w:szCs w:val="30"/>
          <w:lang w:eastAsia="zh-CN"/>
        </w:rPr>
        <w:t>。</w:t>
      </w:r>
    </w:p>
    <w:p>
      <w:pPr>
        <w:ind w:firstLine="630"/>
        <w:jc w:val="left"/>
        <w:rPr>
          <w:rFonts w:hint="eastAsia" w:ascii="仿宋_GB2312" w:hAnsi="仿宋_GB2312" w:eastAsia="仿宋_GB2312"/>
          <w:sz w:val="30"/>
          <w:szCs w:val="30"/>
        </w:rPr>
      </w:pPr>
    </w:p>
    <w:p>
      <w:pPr>
        <w:ind w:firstLine="630"/>
        <w:jc w:val="left"/>
        <w:rPr>
          <w:rFonts w:hint="eastAsia" w:ascii="仿宋" w:hAnsi="仿宋" w:eastAsia="仿宋"/>
          <w:sz w:val="30"/>
          <w:szCs w:val="30"/>
        </w:rPr>
      </w:pPr>
    </w:p>
    <w:p>
      <w:pPr>
        <w:ind w:firstLine="630"/>
        <w:jc w:val="left"/>
        <w:rPr>
          <w:rFonts w:hint="eastAsia" w:ascii="仿宋" w:hAnsi="仿宋" w:eastAsia="仿宋"/>
          <w:sz w:val="30"/>
          <w:szCs w:val="30"/>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第二部分  2021年度部门决算表</w:t>
      </w:r>
    </w:p>
    <w:p>
      <w:pPr>
        <w:autoSpaceDE w:val="0"/>
        <w:autoSpaceDN w:val="0"/>
        <w:adjustRightInd w:val="0"/>
        <w:spacing w:line="360" w:lineRule="auto"/>
        <w:ind w:firstLine="450" w:firstLineChars="150"/>
        <w:jc w:val="left"/>
        <w:rPr>
          <w:rFonts w:hint="eastAsia" w:ascii="仿宋_GB2312" w:hAnsi="仿宋_GB2312" w:eastAsia="仿宋_GB2312"/>
          <w:sz w:val="30"/>
          <w:szCs w:val="30"/>
        </w:rPr>
      </w:pPr>
    </w:p>
    <w:p>
      <w:pPr>
        <w:autoSpaceDE w:val="0"/>
        <w:autoSpaceDN w:val="0"/>
        <w:adjustRightInd w:val="0"/>
        <w:spacing w:line="360" w:lineRule="auto"/>
        <w:jc w:val="left"/>
        <w:rPr>
          <w:rFonts w:hint="eastAsia" w:ascii="仿宋_GB2312" w:hAnsi="仿宋_GB2312" w:eastAsia="仿宋_GB2312"/>
          <w:sz w:val="36"/>
          <w:szCs w:val="36"/>
        </w:rPr>
      </w:pPr>
      <w:r>
        <w:rPr>
          <w:rFonts w:hint="eastAsia" w:ascii="仿宋_GB2312" w:hAnsi="仿宋_GB2312" w:eastAsia="仿宋_GB2312"/>
          <w:sz w:val="36"/>
          <w:szCs w:val="36"/>
        </w:rPr>
        <w:object>
          <v:shape id="_x0000_i1025" o:spt="75" type="#_x0000_t75" style="height:419pt;width:416.4pt;" o:ole="t" filled="f" o:preferrelative="t" stroked="f" coordsize="21600,21600">
            <v:path/>
            <v:fill on="f" focussize="0,0"/>
            <v:stroke on="f"/>
            <v:imagedata r:id="rId9" o:title=""/>
            <o:lock v:ext="edit" aspectratio="f"/>
            <w10:wrap type="none"/>
            <w10:anchorlock/>
          </v:shape>
          <o:OLEObject Type="Embed" ProgID="Excel.Sheet.8" ShapeID="_x0000_i1025" DrawAspect="Content" ObjectID="_1468075725" r:id="rId8">
            <o:LockedField>false</o:LockedField>
          </o:OLEObject>
        </w:object>
      </w:r>
    </w:p>
    <w:p>
      <w:pPr>
        <w:autoSpaceDE w:val="0"/>
        <w:autoSpaceDN w:val="0"/>
        <w:adjustRightInd w:val="0"/>
        <w:spacing w:line="360" w:lineRule="auto"/>
        <w:jc w:val="left"/>
        <w:rPr>
          <w:rFonts w:hint="eastAsia" w:ascii="仿宋_GB2312" w:hAnsi="仿宋_GB2312" w:eastAsia="仿宋_GB2312"/>
          <w:sz w:val="36"/>
          <w:szCs w:val="36"/>
        </w:rPr>
      </w:pPr>
    </w:p>
    <w:p>
      <w:pPr>
        <w:autoSpaceDE w:val="0"/>
        <w:autoSpaceDN w:val="0"/>
        <w:adjustRightInd w:val="0"/>
        <w:spacing w:line="360" w:lineRule="auto"/>
        <w:jc w:val="left"/>
      </w:pPr>
      <w:r>
        <w:drawing>
          <wp:inline distT="0" distB="0" distL="114300" distR="114300">
            <wp:extent cx="5423535" cy="3498850"/>
            <wp:effectExtent l="0" t="0" r="5715" b="635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10"/>
                    <a:stretch>
                      <a:fillRect/>
                    </a:stretch>
                  </pic:blipFill>
                  <pic:spPr>
                    <a:xfrm>
                      <a:off x="0" y="0"/>
                      <a:ext cx="5423535" cy="3498850"/>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85740" cy="4788535"/>
            <wp:effectExtent l="0" t="0" r="1016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5285740" cy="478853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89550" cy="4885055"/>
            <wp:effectExtent l="0" t="0" r="6350" b="1079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2"/>
                    <a:stretch>
                      <a:fillRect/>
                    </a:stretch>
                  </pic:blipFill>
                  <pic:spPr>
                    <a:xfrm>
                      <a:off x="0" y="0"/>
                      <a:ext cx="5289550" cy="488505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90185" cy="6076315"/>
            <wp:effectExtent l="0" t="0" r="5715" b="635"/>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3"/>
                    <a:stretch>
                      <a:fillRect/>
                    </a:stretch>
                  </pic:blipFill>
                  <pic:spPr>
                    <a:xfrm>
                      <a:off x="0" y="0"/>
                      <a:ext cx="5290185" cy="6076315"/>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90820" cy="8206740"/>
            <wp:effectExtent l="0" t="0" r="5080" b="3810"/>
            <wp:docPr id="3"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7"/>
                    <pic:cNvPicPr>
                      <a:picLocks noChangeAspect="1"/>
                    </pic:cNvPicPr>
                  </pic:nvPicPr>
                  <pic:blipFill>
                    <a:blip r:embed="rId14"/>
                    <a:stretch>
                      <a:fillRect/>
                    </a:stretch>
                  </pic:blipFill>
                  <pic:spPr>
                    <a:xfrm>
                      <a:off x="0" y="0"/>
                      <a:ext cx="5290820" cy="8206740"/>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87010" cy="5408295"/>
            <wp:effectExtent l="0" t="0" r="8890" b="1905"/>
            <wp:docPr id="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8"/>
                    <pic:cNvPicPr>
                      <a:picLocks noChangeAspect="1"/>
                    </pic:cNvPicPr>
                  </pic:nvPicPr>
                  <pic:blipFill>
                    <a:blip r:embed="rId15"/>
                    <a:stretch>
                      <a:fillRect/>
                    </a:stretch>
                  </pic:blipFill>
                  <pic:spPr>
                    <a:xfrm>
                      <a:off x="0" y="0"/>
                      <a:ext cx="5287010" cy="540829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r>
        <w:drawing>
          <wp:inline distT="0" distB="0" distL="114300" distR="114300">
            <wp:extent cx="5291455" cy="2152650"/>
            <wp:effectExtent l="0" t="0" r="4445" b="0"/>
            <wp:docPr id="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pic:cNvPicPr>
                      <a:picLocks noChangeAspect="1"/>
                    </pic:cNvPicPr>
                  </pic:nvPicPr>
                  <pic:blipFill>
                    <a:blip r:embed="rId16"/>
                    <a:stretch>
                      <a:fillRect/>
                    </a:stretch>
                  </pic:blipFill>
                  <pic:spPr>
                    <a:xfrm>
                      <a:off x="0" y="0"/>
                      <a:ext cx="5291455" cy="2152650"/>
                    </a:xfrm>
                    <a:prstGeom prst="rect">
                      <a:avLst/>
                    </a:prstGeom>
                    <a:noFill/>
                    <a:ln>
                      <a:noFill/>
                    </a:ln>
                  </pic:spPr>
                </pic:pic>
              </a:graphicData>
            </a:graphic>
          </wp:inline>
        </w:drawing>
      </w:r>
    </w:p>
    <w:p>
      <w:pPr>
        <w:autoSpaceDE w:val="0"/>
        <w:autoSpaceDN w:val="0"/>
        <w:adjustRightInd w:val="0"/>
        <w:spacing w:line="360" w:lineRule="auto"/>
        <w:jc w:val="left"/>
      </w:pPr>
      <w:r>
        <w:drawing>
          <wp:inline distT="0" distB="0" distL="114300" distR="114300">
            <wp:extent cx="5286375" cy="2760345"/>
            <wp:effectExtent l="0" t="0" r="9525" b="1905"/>
            <wp:docPr id="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0"/>
                    <pic:cNvPicPr>
                      <a:picLocks noChangeAspect="1"/>
                    </pic:cNvPicPr>
                  </pic:nvPicPr>
                  <pic:blipFill>
                    <a:blip r:embed="rId17"/>
                    <a:stretch>
                      <a:fillRect/>
                    </a:stretch>
                  </pic:blipFill>
                  <pic:spPr>
                    <a:xfrm>
                      <a:off x="0" y="0"/>
                      <a:ext cx="5286375" cy="2760345"/>
                    </a:xfrm>
                    <a:prstGeom prst="rect">
                      <a:avLst/>
                    </a:prstGeom>
                    <a:noFill/>
                    <a:ln>
                      <a:noFill/>
                    </a:ln>
                  </pic:spPr>
                </pic:pic>
              </a:graphicData>
            </a:graphic>
          </wp:inline>
        </w:drawing>
      </w:r>
    </w:p>
    <w:p>
      <w:pPr>
        <w:autoSpaceDE w:val="0"/>
        <w:autoSpaceDN w:val="0"/>
        <w:adjustRightInd w:val="0"/>
        <w:spacing w:line="360" w:lineRule="auto"/>
        <w:jc w:val="left"/>
      </w:pPr>
    </w:p>
    <w:p>
      <w:pPr>
        <w:autoSpaceDE w:val="0"/>
        <w:autoSpaceDN w:val="0"/>
        <w:adjustRightInd w:val="0"/>
        <w:spacing w:line="360" w:lineRule="auto"/>
        <w:jc w:val="left"/>
      </w:pPr>
    </w:p>
    <w:p>
      <w:pPr>
        <w:autoSpaceDE w:val="0"/>
        <w:autoSpaceDN w:val="0"/>
        <w:adjustRightInd w:val="0"/>
        <w:spacing w:line="360" w:lineRule="auto"/>
        <w:jc w:val="left"/>
      </w:pPr>
    </w:p>
    <w:tbl>
      <w:tblPr>
        <w:tblStyle w:val="6"/>
        <w:tblW w:w="877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589"/>
        <w:gridCol w:w="1178"/>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775" w:type="dxa"/>
            <w:gridSpan w:val="3"/>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44"/>
                <w:szCs w:val="44"/>
                <w:u w:val="none"/>
              </w:rPr>
            </w:pPr>
            <w:r>
              <w:rPr>
                <w:rFonts w:hint="eastAsia" w:ascii="宋体" w:hAnsi="宋体" w:eastAsia="宋体" w:cs="宋体"/>
                <w:i w:val="0"/>
                <w:iCs w:val="0"/>
                <w:color w:val="000000"/>
                <w:kern w:val="0"/>
                <w:sz w:val="44"/>
                <w:szCs w:val="44"/>
                <w:u w:val="none"/>
                <w:lang w:val="en-US" w:eastAsia="zh-CN" w:bidi="ar"/>
              </w:rPr>
              <w:t>国有资产占用情况表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公开10表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FFFFFF"/>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编制单位：南昌市西湖区卫生健康委员会</w:t>
            </w:r>
          </w:p>
        </w:tc>
        <w:tc>
          <w:tcPr>
            <w:tcW w:w="0" w:type="auto"/>
            <w:tcBorders>
              <w:top w:val="nil"/>
              <w:left w:val="nil"/>
              <w:bottom w:val="nil"/>
              <w:right w:val="nil"/>
            </w:tcBorders>
            <w:shd w:val="clear" w:color="auto" w:fill="FFFFFF"/>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2021年度</w:t>
            </w:r>
          </w:p>
        </w:tc>
        <w:tc>
          <w:tcPr>
            <w:tcW w:w="0" w:type="auto"/>
            <w:tcBorders>
              <w:top w:val="nil"/>
              <w:left w:val="nil"/>
              <w:bottom w:val="nil"/>
              <w:right w:val="nil"/>
            </w:tcBorders>
            <w:shd w:val="clear" w:color="auto" w:fill="FFFFFF"/>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单位：台、辆、套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 w:hRule="atLeast"/>
        </w:trPr>
        <w:tc>
          <w:tcPr>
            <w:tcW w:w="0" w:type="auto"/>
            <w:tcBorders>
              <w:top w:val="single" w:color="000000" w:sz="4" w:space="0"/>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  目</w:t>
            </w:r>
          </w:p>
        </w:tc>
        <w:tc>
          <w:tcPr>
            <w:tcW w:w="0" w:type="auto"/>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single" w:color="000000" w:sz="4" w:space="0"/>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一、车辆数合计(台、辆)</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1.副部（省）级及以上领导用车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2.主要领导干部用车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3.机要通信用车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4.应急保障用车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5.执法执勤用车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6.特种专业技术用车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7.离退休干部用车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8.其他用车</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二、单价50万元（含）以上通用设备（台，套）</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三、单价100万元（含）以上专用设备（台，套）</w:t>
            </w:r>
          </w:p>
        </w:tc>
        <w:tc>
          <w:tcPr>
            <w:tcW w:w="0" w:type="auto"/>
            <w:tcBorders>
              <w:top w:val="nil"/>
              <w:left w:val="nil"/>
              <w:bottom w:val="single" w:color="000000" w:sz="4" w:space="0"/>
              <w:right w:val="single" w:color="000000" w:sz="4" w:space="0"/>
            </w:tcBorders>
            <w:shd w:val="clear" w:color="FFFFFF"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gridSpan w:val="3"/>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注：本表反映截止2021年12月31日，部门占用的国有资产情况。</w:t>
            </w:r>
          </w:p>
        </w:tc>
      </w:tr>
    </w:tbl>
    <w:p>
      <w:pPr>
        <w:autoSpaceDE w:val="0"/>
        <w:autoSpaceDN w:val="0"/>
        <w:adjustRightInd w:val="0"/>
        <w:spacing w:line="360" w:lineRule="auto"/>
        <w:jc w:val="left"/>
        <w:rPr>
          <w:rFonts w:hint="eastAsia"/>
        </w:rPr>
      </w:pPr>
    </w:p>
    <w:p>
      <w:pPr>
        <w:autoSpaceDE w:val="0"/>
        <w:autoSpaceDN w:val="0"/>
        <w:adjustRightInd w:val="0"/>
        <w:spacing w:line="360" w:lineRule="auto"/>
        <w:jc w:val="left"/>
        <w:rPr>
          <w:rFonts w:hint="eastAsia" w:ascii="仿宋_GB2312" w:hAnsi="仿宋_GB2312" w:eastAsia="仿宋_GB2312"/>
          <w:sz w:val="36"/>
          <w:szCs w:val="36"/>
        </w:rPr>
      </w:pPr>
    </w:p>
    <w:p>
      <w:pPr>
        <w:autoSpaceDE w:val="0"/>
        <w:autoSpaceDN w:val="0"/>
        <w:adjustRightInd w:val="0"/>
        <w:spacing w:line="360" w:lineRule="auto"/>
        <w:jc w:val="left"/>
        <w:rPr>
          <w:rFonts w:hint="eastAsia" w:ascii="仿宋_GB2312" w:hAnsi="仿宋_GB2312" w:eastAsia="仿宋_GB2312"/>
          <w:sz w:val="36"/>
          <w:szCs w:val="36"/>
        </w:rPr>
      </w:pPr>
    </w:p>
    <w:p>
      <w:pPr>
        <w:autoSpaceDE w:val="0"/>
        <w:autoSpaceDN w:val="0"/>
        <w:adjustRightInd w:val="0"/>
        <w:spacing w:line="360" w:lineRule="auto"/>
        <w:jc w:val="left"/>
        <w:rPr>
          <w:rFonts w:hint="eastAsia" w:ascii="仿宋_GB2312" w:hAnsi="仿宋_GB2312" w:eastAsia="仿宋_GB2312"/>
          <w:sz w:val="36"/>
          <w:szCs w:val="36"/>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第三部分  2021年度部门决算情况说明</w:t>
      </w:r>
    </w:p>
    <w:p>
      <w:pPr>
        <w:ind w:firstLine="630"/>
        <w:jc w:val="left"/>
        <w:rPr>
          <w:rFonts w:hint="eastAsia" w:ascii="黑体" w:hAnsi="黑体" w:eastAsia="黑体"/>
          <w:sz w:val="30"/>
          <w:szCs w:val="30"/>
        </w:rPr>
      </w:pPr>
      <w:r>
        <w:rPr>
          <w:rFonts w:hint="eastAsia" w:ascii="黑体" w:hAnsi="黑体" w:eastAsia="黑体"/>
          <w:sz w:val="30"/>
          <w:szCs w:val="30"/>
        </w:rPr>
        <w:t>一、收入决算情况说明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本部门2021年度收入总计26182.4万元，其中年初结转和结余1507.05万元，较2020年减少672.86万元，下降30.87%，</w:t>
      </w:r>
      <w:r>
        <w:rPr>
          <w:rFonts w:ascii="仿宋" w:hAnsi="仿宋" w:eastAsia="仿宋" w:cs="仿宋"/>
          <w:spacing w:val="7"/>
          <w:sz w:val="31"/>
          <w:szCs w:val="31"/>
        </w:rPr>
        <w:t>主要原因是20</w:t>
      </w:r>
      <w:r>
        <w:rPr>
          <w:rFonts w:hint="eastAsia" w:ascii="仿宋" w:hAnsi="仿宋" w:eastAsia="仿宋" w:cs="仿宋"/>
          <w:spacing w:val="7"/>
          <w:sz w:val="31"/>
          <w:szCs w:val="31"/>
        </w:rPr>
        <w:t>21</w:t>
      </w:r>
      <w:r>
        <w:rPr>
          <w:rFonts w:ascii="仿宋" w:hAnsi="仿宋" w:eastAsia="仿宋" w:cs="仿宋"/>
          <w:spacing w:val="7"/>
          <w:sz w:val="31"/>
          <w:szCs w:val="31"/>
        </w:rPr>
        <w:t>年加快了预算执行进度，减</w:t>
      </w:r>
      <w:r>
        <w:rPr>
          <w:rFonts w:ascii="仿宋" w:hAnsi="仿宋" w:eastAsia="仿宋" w:cs="仿宋"/>
          <w:spacing w:val="-3"/>
          <w:sz w:val="31"/>
          <w:szCs w:val="31"/>
        </w:rPr>
        <w:t>少了年末结转结余；</w:t>
      </w:r>
      <w:r>
        <w:rPr>
          <w:rFonts w:hint="eastAsia" w:ascii="仿宋" w:hAnsi="仿宋" w:eastAsia="仿宋"/>
          <w:sz w:val="30"/>
          <w:szCs w:val="30"/>
        </w:rPr>
        <w:t>本年收入合计34675.35万元，较2020年增加1856.14万元，增长1.95 %，主要原因是增加新冠肺炎疫情防控经费。</w:t>
      </w:r>
    </w:p>
    <w:p>
      <w:pPr>
        <w:ind w:firstLine="630"/>
        <w:jc w:val="left"/>
        <w:rPr>
          <w:rFonts w:hint="eastAsia" w:ascii="仿宋" w:hAnsi="仿宋" w:eastAsia="仿宋"/>
          <w:sz w:val="30"/>
          <w:szCs w:val="30"/>
        </w:rPr>
      </w:pPr>
      <w:r>
        <w:rPr>
          <w:rFonts w:hint="eastAsia" w:ascii="仿宋" w:hAnsi="仿宋" w:eastAsia="仿宋"/>
          <w:sz w:val="30"/>
          <w:szCs w:val="30"/>
        </w:rPr>
        <w:t xml:space="preserve">本年收入的具体构成为：财政拨款收入20089.26 万元，占81.41 %；事业收入 4586.09万元，占18.59 %；经营收入 0 万元，占0 %；其他收入0万元，占 0 %。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ind w:firstLine="630"/>
        <w:jc w:val="left"/>
        <w:rPr>
          <w:rFonts w:ascii="仿宋" w:hAnsi="仿宋" w:eastAsia="仿宋" w:cs="仿宋"/>
          <w:sz w:val="31"/>
          <w:szCs w:val="31"/>
        </w:rPr>
      </w:pPr>
      <w:r>
        <w:rPr>
          <w:rFonts w:hint="eastAsia" w:ascii="仿宋" w:hAnsi="仿宋" w:eastAsia="仿宋"/>
          <w:sz w:val="30"/>
          <w:szCs w:val="30"/>
        </w:rPr>
        <w:t>本部门2021年度支出总计26182.4万元，其中本年支出合计26182.4万元，较2020年增加2871.4万元，增长12.32 %，主要原因是增加新冠肺炎疫情防控经费；年末结转和结余0万元，较2020年减少1688.12万元，下降100 %，主要原因是加</w:t>
      </w:r>
      <w:r>
        <w:rPr>
          <w:rFonts w:ascii="仿宋" w:hAnsi="仿宋" w:eastAsia="仿宋" w:cs="仿宋"/>
          <w:spacing w:val="5"/>
          <w:sz w:val="31"/>
          <w:szCs w:val="31"/>
        </w:rPr>
        <w:t>快了预算执行进</w:t>
      </w:r>
      <w:r>
        <w:rPr>
          <w:rFonts w:ascii="仿宋" w:hAnsi="仿宋" w:eastAsia="仿宋" w:cs="仿宋"/>
          <w:spacing w:val="-3"/>
          <w:sz w:val="31"/>
          <w:szCs w:val="31"/>
        </w:rPr>
        <w:t>度。</w:t>
      </w:r>
    </w:p>
    <w:p>
      <w:pPr>
        <w:ind w:firstLine="630"/>
        <w:jc w:val="left"/>
        <w:rPr>
          <w:rFonts w:hint="eastAsia" w:ascii="仿宋" w:hAnsi="仿宋" w:eastAsia="仿宋"/>
          <w:sz w:val="30"/>
          <w:szCs w:val="30"/>
        </w:rPr>
      </w:pPr>
      <w:r>
        <w:rPr>
          <w:rFonts w:hint="eastAsia" w:ascii="仿宋" w:hAnsi="仿宋" w:eastAsia="仿宋"/>
          <w:sz w:val="30"/>
          <w:szCs w:val="30"/>
        </w:rPr>
        <w:t>本年支出的具体构成为：基本支出10149.55万元，占38.76%；项目支出16032.85万元，占61.24%；经营支出0万元，占0 %；其他支出（对附属单位补助支出、上缴上级支出）0万元，占  %。</w:t>
      </w:r>
    </w:p>
    <w:p>
      <w:pPr>
        <w:ind w:firstLine="630"/>
        <w:jc w:val="left"/>
        <w:rPr>
          <w:rFonts w:hint="eastAsia" w:ascii="黑体" w:hAnsi="黑体" w:eastAsia="黑体"/>
          <w:sz w:val="30"/>
          <w:szCs w:val="30"/>
        </w:rPr>
      </w:pPr>
      <w:r>
        <w:rPr>
          <w:rFonts w:hint="eastAsia" w:ascii="黑体" w:hAnsi="黑体" w:eastAsia="黑体"/>
          <w:sz w:val="30"/>
          <w:szCs w:val="30"/>
        </w:rPr>
        <w:t>三、财政拨款支出决算情况说明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本部门2021年度财政拨款本年支出年初预算数为14827.35万元，决算数为26182.4万元，完成年初预算的176.58%。其中：</w:t>
      </w:r>
    </w:p>
    <w:p>
      <w:pPr>
        <w:spacing w:before="4" w:line="371" w:lineRule="auto"/>
        <w:ind w:left="36" w:firstLine="632"/>
        <w:rPr>
          <w:rFonts w:hint="eastAsia" w:ascii="仿宋" w:hAnsi="仿宋" w:eastAsia="仿宋"/>
          <w:sz w:val="30"/>
          <w:szCs w:val="30"/>
        </w:rPr>
      </w:pPr>
      <w:r>
        <w:rPr>
          <w:rFonts w:ascii="仿宋" w:hAnsi="仿宋" w:eastAsia="仿宋"/>
          <w:sz w:val="30"/>
          <w:szCs w:val="30"/>
        </w:rPr>
        <w:t>（</w:t>
      </w:r>
      <w:r>
        <w:rPr>
          <w:rFonts w:hint="eastAsia" w:ascii="仿宋" w:hAnsi="仿宋" w:eastAsia="仿宋"/>
          <w:sz w:val="30"/>
          <w:szCs w:val="30"/>
        </w:rPr>
        <w:t>一</w:t>
      </w:r>
      <w:r>
        <w:rPr>
          <w:rFonts w:ascii="仿宋" w:hAnsi="仿宋" w:eastAsia="仿宋"/>
          <w:sz w:val="30"/>
          <w:szCs w:val="30"/>
        </w:rPr>
        <w:t>）社会保障和就业支出年初预算数为</w:t>
      </w:r>
      <w:r>
        <w:rPr>
          <w:rFonts w:hint="eastAsia" w:ascii="仿宋" w:hAnsi="仿宋" w:eastAsia="仿宋"/>
          <w:sz w:val="30"/>
          <w:szCs w:val="30"/>
        </w:rPr>
        <w:t>47.94</w:t>
      </w:r>
      <w:r>
        <w:rPr>
          <w:rFonts w:ascii="仿宋" w:hAnsi="仿宋" w:eastAsia="仿宋"/>
          <w:sz w:val="30"/>
          <w:szCs w:val="30"/>
        </w:rPr>
        <w:t>万元，决算数为</w:t>
      </w:r>
      <w:r>
        <w:rPr>
          <w:rFonts w:hint="eastAsia" w:ascii="仿宋" w:hAnsi="仿宋" w:eastAsia="仿宋"/>
          <w:sz w:val="30"/>
          <w:szCs w:val="30"/>
        </w:rPr>
        <w:t>17.98</w:t>
      </w:r>
      <w:r>
        <w:rPr>
          <w:rFonts w:ascii="仿宋" w:hAnsi="仿宋" w:eastAsia="仿宋"/>
          <w:sz w:val="30"/>
          <w:szCs w:val="30"/>
        </w:rPr>
        <w:t>万元，完成年初预算的</w:t>
      </w:r>
      <w:r>
        <w:rPr>
          <w:rFonts w:hint="eastAsia" w:ascii="仿宋" w:hAnsi="仿宋" w:eastAsia="仿宋"/>
          <w:sz w:val="30"/>
          <w:szCs w:val="30"/>
        </w:rPr>
        <w:t>37.50</w:t>
      </w:r>
      <w:r>
        <w:rPr>
          <w:rFonts w:ascii="仿宋" w:hAnsi="仿宋" w:eastAsia="仿宋"/>
          <w:sz w:val="30"/>
          <w:szCs w:val="30"/>
        </w:rPr>
        <w:t>%，主要原因是人员</w:t>
      </w:r>
      <w:r>
        <w:rPr>
          <w:rFonts w:hint="eastAsia" w:ascii="仿宋" w:hAnsi="仿宋" w:eastAsia="仿宋"/>
          <w:sz w:val="30"/>
          <w:szCs w:val="30"/>
        </w:rPr>
        <w:t>退休</w:t>
      </w:r>
      <w:r>
        <w:rPr>
          <w:rFonts w:ascii="仿宋" w:hAnsi="仿宋" w:eastAsia="仿宋"/>
          <w:sz w:val="30"/>
          <w:szCs w:val="30"/>
        </w:rPr>
        <w:t>，</w:t>
      </w:r>
      <w:r>
        <w:rPr>
          <w:rFonts w:hint="eastAsia" w:ascii="仿宋" w:hAnsi="仿宋" w:eastAsia="仿宋"/>
          <w:sz w:val="30"/>
          <w:szCs w:val="30"/>
        </w:rPr>
        <w:t>减少</w:t>
      </w:r>
      <w:r>
        <w:rPr>
          <w:rFonts w:ascii="仿宋" w:hAnsi="仿宋" w:eastAsia="仿宋"/>
          <w:sz w:val="30"/>
          <w:szCs w:val="30"/>
        </w:rPr>
        <w:t>了社会保障经费</w:t>
      </w:r>
      <w:r>
        <w:rPr>
          <w:rFonts w:hint="eastAsia" w:ascii="仿宋" w:hAnsi="仿宋" w:eastAsia="仿宋"/>
          <w:sz w:val="30"/>
          <w:szCs w:val="30"/>
        </w:rPr>
        <w:t>,</w:t>
      </w:r>
      <w:r>
        <w:rPr>
          <w:rFonts w:ascii="仿宋" w:hAnsi="仿宋" w:eastAsia="仿宋"/>
          <w:sz w:val="30"/>
          <w:szCs w:val="30"/>
        </w:rPr>
        <w:t xml:space="preserve"> 相应</w:t>
      </w:r>
      <w:r>
        <w:rPr>
          <w:rFonts w:hint="eastAsia" w:ascii="仿宋" w:hAnsi="仿宋" w:eastAsia="仿宋"/>
          <w:sz w:val="30"/>
          <w:szCs w:val="30"/>
        </w:rPr>
        <w:t>减少</w:t>
      </w:r>
      <w:r>
        <w:rPr>
          <w:rFonts w:ascii="仿宋" w:hAnsi="仿宋" w:eastAsia="仿宋"/>
          <w:sz w:val="30"/>
          <w:szCs w:val="30"/>
        </w:rPr>
        <w:t>了支出。</w:t>
      </w:r>
    </w:p>
    <w:p>
      <w:pPr>
        <w:spacing w:before="3" w:line="371" w:lineRule="auto"/>
        <w:ind w:left="37" w:right="88" w:firstLine="63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二</w:t>
      </w:r>
      <w:r>
        <w:rPr>
          <w:rFonts w:ascii="仿宋" w:hAnsi="仿宋" w:eastAsia="仿宋"/>
          <w:sz w:val="30"/>
          <w:szCs w:val="30"/>
        </w:rPr>
        <w:t>）卫生健康支出年初预算数为</w:t>
      </w:r>
      <w:r>
        <w:rPr>
          <w:rFonts w:hint="eastAsia" w:ascii="仿宋" w:hAnsi="仿宋" w:eastAsia="仿宋"/>
          <w:sz w:val="30"/>
          <w:szCs w:val="30"/>
        </w:rPr>
        <w:t>7220.65</w:t>
      </w:r>
      <w:r>
        <w:rPr>
          <w:rFonts w:ascii="仿宋" w:hAnsi="仿宋" w:eastAsia="仿宋"/>
          <w:sz w:val="30"/>
          <w:szCs w:val="30"/>
        </w:rPr>
        <w:t>万元，决算数为</w:t>
      </w:r>
      <w:r>
        <w:rPr>
          <w:rFonts w:hint="eastAsia" w:ascii="仿宋" w:hAnsi="仿宋" w:eastAsia="仿宋"/>
          <w:sz w:val="30"/>
          <w:szCs w:val="30"/>
        </w:rPr>
        <w:t>15377.84</w:t>
      </w:r>
      <w:r>
        <w:rPr>
          <w:rFonts w:ascii="仿宋" w:hAnsi="仿宋" w:eastAsia="仿宋"/>
          <w:sz w:val="30"/>
          <w:szCs w:val="30"/>
        </w:rPr>
        <w:t>万元，完成年初预算的</w:t>
      </w:r>
      <w:r>
        <w:rPr>
          <w:rFonts w:hint="eastAsia" w:ascii="仿宋" w:hAnsi="仿宋" w:eastAsia="仿宋"/>
          <w:sz w:val="30"/>
          <w:szCs w:val="30"/>
        </w:rPr>
        <w:t>212.97</w:t>
      </w:r>
      <w:r>
        <w:rPr>
          <w:rFonts w:ascii="仿宋" w:hAnsi="仿宋" w:eastAsia="仿宋"/>
          <w:sz w:val="30"/>
          <w:szCs w:val="30"/>
        </w:rPr>
        <w:t>%，主要原因是年中追加了</w:t>
      </w:r>
      <w:r>
        <w:rPr>
          <w:rFonts w:hint="eastAsia" w:ascii="仿宋" w:hAnsi="仿宋" w:eastAsia="仿宋"/>
          <w:sz w:val="30"/>
          <w:szCs w:val="30"/>
        </w:rPr>
        <w:t>新</w:t>
      </w:r>
      <w:r>
        <w:rPr>
          <w:rFonts w:ascii="仿宋" w:hAnsi="仿宋" w:eastAsia="仿宋"/>
          <w:sz w:val="30"/>
          <w:szCs w:val="30"/>
        </w:rPr>
        <w:t>冠肺炎疫情防疫防控经费，相应增加了支出。</w:t>
      </w:r>
    </w:p>
    <w:p>
      <w:pPr>
        <w:spacing w:before="3" w:line="371" w:lineRule="auto"/>
        <w:ind w:left="37" w:right="88" w:firstLine="630"/>
        <w:rPr>
          <w:rFonts w:ascii="仿宋" w:hAnsi="仿宋" w:eastAsia="仿宋"/>
          <w:sz w:val="30"/>
          <w:szCs w:val="30"/>
        </w:rPr>
      </w:pPr>
      <w:r>
        <w:rPr>
          <w:rFonts w:hint="eastAsia" w:ascii="仿宋" w:hAnsi="仿宋" w:eastAsia="仿宋"/>
          <w:sz w:val="30"/>
          <w:szCs w:val="30"/>
        </w:rPr>
        <w:t>（三</w:t>
      </w:r>
      <w:r>
        <w:rPr>
          <w:rFonts w:ascii="仿宋" w:hAnsi="仿宋" w:eastAsia="仿宋"/>
          <w:sz w:val="30"/>
          <w:szCs w:val="30"/>
        </w:rPr>
        <w:t>）</w:t>
      </w:r>
      <w:r>
        <w:rPr>
          <w:rFonts w:hint="eastAsia" w:ascii="仿宋" w:hAnsi="仿宋" w:eastAsia="仿宋"/>
          <w:sz w:val="30"/>
          <w:szCs w:val="30"/>
        </w:rPr>
        <w:t>抗疫特别国债安排的支出年初预算数为0万元，决算数为207.41万元，</w:t>
      </w:r>
      <w:r>
        <w:rPr>
          <w:rFonts w:ascii="仿宋" w:hAnsi="仿宋" w:eastAsia="仿宋"/>
          <w:sz w:val="30"/>
          <w:szCs w:val="30"/>
        </w:rPr>
        <w:t>上年结转</w:t>
      </w:r>
      <w:r>
        <w:rPr>
          <w:rFonts w:hint="eastAsia" w:ascii="仿宋" w:hAnsi="仿宋" w:eastAsia="仿宋"/>
          <w:sz w:val="30"/>
          <w:szCs w:val="30"/>
        </w:rPr>
        <w:t>新</w:t>
      </w:r>
      <w:r>
        <w:rPr>
          <w:rFonts w:ascii="仿宋" w:hAnsi="仿宋" w:eastAsia="仿宋"/>
          <w:sz w:val="30"/>
          <w:szCs w:val="30"/>
        </w:rPr>
        <w:t>冠肺炎疫情防控</w:t>
      </w:r>
      <w:r>
        <w:rPr>
          <w:rFonts w:hint="eastAsia" w:ascii="仿宋" w:hAnsi="仿宋" w:eastAsia="仿宋"/>
          <w:sz w:val="30"/>
          <w:szCs w:val="30"/>
        </w:rPr>
        <w:t>政府性基金207.41万元</w:t>
      </w:r>
      <w:r>
        <w:rPr>
          <w:rFonts w:ascii="仿宋" w:hAnsi="仿宋" w:eastAsia="仿宋"/>
          <w:sz w:val="30"/>
          <w:szCs w:val="30"/>
        </w:rPr>
        <w:t>，相应增加了支出。</w:t>
      </w:r>
    </w:p>
    <w:p>
      <w:pPr>
        <w:ind w:firstLine="585"/>
        <w:jc w:val="left"/>
        <w:rPr>
          <w:rFonts w:hint="eastAsia" w:ascii="黑体" w:hAnsi="黑体" w:eastAsia="黑体"/>
          <w:sz w:val="30"/>
          <w:szCs w:val="30"/>
        </w:rPr>
      </w:pPr>
      <w:r>
        <w:rPr>
          <w:rFonts w:hint="eastAsia" w:ascii="黑体" w:hAnsi="黑体" w:eastAsia="黑体"/>
          <w:sz w:val="30"/>
          <w:szCs w:val="30"/>
        </w:rPr>
        <w:t>四、一般公共预算财政拨款基本支出决算情况说明</w:t>
      </w:r>
    </w:p>
    <w:p>
      <w:pPr>
        <w:ind w:firstLine="585"/>
        <w:jc w:val="left"/>
        <w:rPr>
          <w:rFonts w:hint="eastAsia" w:ascii="仿宋" w:hAnsi="仿宋" w:eastAsia="仿宋"/>
          <w:sz w:val="30"/>
          <w:szCs w:val="30"/>
        </w:rPr>
      </w:pPr>
      <w:r>
        <w:rPr>
          <w:rFonts w:hint="eastAsia" w:ascii="仿宋" w:hAnsi="仿宋" w:eastAsia="仿宋"/>
          <w:sz w:val="30"/>
          <w:szCs w:val="30"/>
        </w:rPr>
        <w:t>本部门2021年度一般公共预算财政拨款基本支出5792.07万元，其中：</w:t>
      </w:r>
    </w:p>
    <w:p>
      <w:pPr>
        <w:ind w:firstLine="585"/>
        <w:jc w:val="left"/>
        <w:rPr>
          <w:rFonts w:hint="eastAsia" w:ascii="仿宋" w:hAnsi="仿宋" w:eastAsia="仿宋"/>
          <w:sz w:val="30"/>
          <w:szCs w:val="30"/>
        </w:rPr>
      </w:pPr>
      <w:r>
        <w:rPr>
          <w:rFonts w:hint="eastAsia" w:ascii="仿宋" w:hAnsi="仿宋" w:eastAsia="仿宋"/>
          <w:sz w:val="30"/>
          <w:szCs w:val="30"/>
        </w:rPr>
        <w:t>（一）工资福利支出3224.75万元，较2020年减少469.29万元，下降12.70%，主要原因一是</w:t>
      </w:r>
      <w:r>
        <w:rPr>
          <w:rFonts w:ascii="仿宋" w:hAnsi="仿宋" w:eastAsia="仿宋" w:cs="仿宋"/>
          <w:spacing w:val="-5"/>
          <w:sz w:val="31"/>
          <w:szCs w:val="31"/>
        </w:rPr>
        <w:t>落实过紧日子要求，奖金减少，二是退休增加，相应减少支出</w:t>
      </w:r>
      <w:r>
        <w:rPr>
          <w:rFonts w:hint="eastAsia" w:ascii="仿宋" w:hAnsi="仿宋" w:eastAsia="仿宋"/>
          <w:sz w:val="30"/>
          <w:szCs w:val="30"/>
        </w:rPr>
        <w:t>。</w:t>
      </w:r>
    </w:p>
    <w:p>
      <w:pPr>
        <w:ind w:firstLine="585"/>
        <w:jc w:val="left"/>
        <w:rPr>
          <w:rFonts w:hint="eastAsia" w:ascii="仿宋" w:hAnsi="仿宋" w:eastAsia="仿宋"/>
          <w:sz w:val="30"/>
          <w:szCs w:val="30"/>
        </w:rPr>
      </w:pPr>
      <w:r>
        <w:rPr>
          <w:rFonts w:hint="eastAsia" w:ascii="仿宋" w:hAnsi="仿宋" w:eastAsia="仿宋"/>
          <w:sz w:val="30"/>
          <w:szCs w:val="30"/>
        </w:rPr>
        <w:t>（二）商品和服务支出2177.56万元，较2020年增加273.82  万元，增加14.38 %，主要原因是疫情防控经费增加。</w:t>
      </w:r>
    </w:p>
    <w:p>
      <w:pPr>
        <w:ind w:firstLine="585"/>
        <w:jc w:val="left"/>
        <w:rPr>
          <w:rFonts w:hint="eastAsia" w:ascii="仿宋" w:hAnsi="仿宋" w:eastAsia="仿宋"/>
          <w:sz w:val="30"/>
          <w:szCs w:val="30"/>
        </w:rPr>
      </w:pPr>
      <w:r>
        <w:rPr>
          <w:rFonts w:hint="eastAsia" w:ascii="仿宋" w:hAnsi="仿宋" w:eastAsia="仿宋"/>
          <w:sz w:val="30"/>
          <w:szCs w:val="30"/>
        </w:rPr>
        <w:t>（三）对个人和家庭补助支出232.74万元，较2020年减少131.11万元，下降36.03 %，主要原因是2021年未发放退休人员绩效补助。</w:t>
      </w:r>
    </w:p>
    <w:p>
      <w:pPr>
        <w:ind w:firstLine="585"/>
        <w:jc w:val="left"/>
        <w:rPr>
          <w:rFonts w:hint="eastAsia" w:ascii="仿宋" w:hAnsi="仿宋" w:eastAsia="仿宋"/>
          <w:sz w:val="30"/>
          <w:szCs w:val="30"/>
        </w:rPr>
      </w:pPr>
      <w:r>
        <w:rPr>
          <w:rFonts w:hint="eastAsia" w:ascii="仿宋" w:hAnsi="仿宋" w:eastAsia="仿宋"/>
          <w:sz w:val="30"/>
          <w:szCs w:val="30"/>
        </w:rPr>
        <w:t>（四）资本性支出157.02万元，较2020年增加0.71万元，增加0.45 %，主要原因是七院专用设备购置增加。</w:t>
      </w:r>
    </w:p>
    <w:p>
      <w:pPr>
        <w:ind w:firstLine="630"/>
        <w:jc w:val="left"/>
        <w:rPr>
          <w:rFonts w:hint="eastAsia" w:ascii="黑体" w:hAnsi="黑体" w:eastAsia="黑体"/>
          <w:sz w:val="30"/>
          <w:szCs w:val="30"/>
        </w:rPr>
      </w:pPr>
      <w:r>
        <w:rPr>
          <w:rFonts w:hint="eastAsia" w:ascii="黑体" w:hAnsi="黑体" w:eastAsia="黑体"/>
          <w:sz w:val="30"/>
          <w:szCs w:val="30"/>
        </w:rPr>
        <w:t>五、一般公共预算财政拨款“三公”经费支出决算情况说明</w:t>
      </w:r>
    </w:p>
    <w:p>
      <w:pPr>
        <w:ind w:firstLine="630"/>
        <w:jc w:val="left"/>
        <w:rPr>
          <w:rFonts w:hint="eastAsia" w:ascii="仿宋" w:hAnsi="仿宋" w:eastAsia="仿宋"/>
          <w:sz w:val="30"/>
          <w:szCs w:val="30"/>
        </w:rPr>
      </w:pPr>
      <w:r>
        <w:rPr>
          <w:rFonts w:hint="eastAsia" w:ascii="仿宋" w:hAnsi="仿宋" w:eastAsia="仿宋"/>
          <w:sz w:val="30"/>
          <w:szCs w:val="30"/>
        </w:rPr>
        <w:t>本部门2021年度一般公共预算财政拨款“三公”经费支出年初预算数为 71.76万元，决算数为71.61万元，完成预算的99.79%，决算数较2020年增加</w:t>
      </w:r>
      <w:r>
        <w:rPr>
          <w:rFonts w:hint="eastAsia" w:ascii="仿宋" w:hAnsi="仿宋" w:eastAsia="仿宋"/>
          <w:sz w:val="30"/>
          <w:szCs w:val="30"/>
          <w:lang w:val="en-US" w:eastAsia="zh-CN"/>
        </w:rPr>
        <w:t>69.65</w:t>
      </w:r>
      <w:r>
        <w:rPr>
          <w:rFonts w:hint="eastAsia" w:ascii="仿宋" w:hAnsi="仿宋" w:eastAsia="仿宋"/>
          <w:sz w:val="30"/>
          <w:szCs w:val="30"/>
        </w:rPr>
        <w:t>万元，增长</w:t>
      </w:r>
      <w:r>
        <w:rPr>
          <w:rFonts w:hint="eastAsia" w:ascii="仿宋" w:hAnsi="仿宋" w:eastAsia="仿宋"/>
          <w:sz w:val="30"/>
          <w:szCs w:val="30"/>
          <w:lang w:val="en-US" w:eastAsia="zh-CN"/>
        </w:rPr>
        <w:t>3553.57</w:t>
      </w:r>
      <w:r>
        <w:rPr>
          <w:rFonts w:hint="eastAsia" w:ascii="仿宋" w:hAnsi="仿宋" w:eastAsia="仿宋"/>
          <w:sz w:val="30"/>
          <w:szCs w:val="30"/>
        </w:rPr>
        <w:t xml:space="preserve"> %，其中：</w:t>
      </w:r>
    </w:p>
    <w:p>
      <w:pPr>
        <w:ind w:firstLine="630"/>
        <w:jc w:val="left"/>
        <w:rPr>
          <w:rFonts w:hint="eastAsia" w:ascii="仿宋" w:hAnsi="仿宋" w:eastAsia="仿宋"/>
          <w:sz w:val="30"/>
          <w:szCs w:val="30"/>
        </w:rPr>
      </w:pPr>
      <w:r>
        <w:rPr>
          <w:rFonts w:hint="eastAsia" w:ascii="仿宋" w:hAnsi="仿宋" w:eastAsia="仿宋"/>
          <w:sz w:val="30"/>
          <w:szCs w:val="30"/>
        </w:rPr>
        <w:t>（一）因公出国（境）支出年初预算数为0万元，决算数为0万元，0 %，决算数较2020年增加0万元，增长0</w:t>
      </w:r>
      <w:r>
        <w:rPr>
          <w:rFonts w:hint="eastAsia" w:ascii="仿宋" w:hAnsi="仿宋" w:eastAsia="仿宋"/>
          <w:sz w:val="30"/>
          <w:szCs w:val="30"/>
          <w:lang w:val="en-US" w:eastAsia="zh-CN"/>
        </w:rPr>
        <w:t xml:space="preserve"> </w:t>
      </w:r>
      <w:r>
        <w:rPr>
          <w:rFonts w:hint="eastAsia" w:ascii="仿宋" w:hAnsi="仿宋" w:eastAsia="仿宋"/>
          <w:sz w:val="30"/>
          <w:szCs w:val="30"/>
        </w:rPr>
        <w:t>%。</w:t>
      </w:r>
    </w:p>
    <w:p>
      <w:pPr>
        <w:spacing w:before="158" w:line="372" w:lineRule="auto"/>
        <w:ind w:left="31" w:right="113" w:firstLine="3"/>
        <w:rPr>
          <w:rFonts w:ascii="仿宋" w:hAnsi="仿宋" w:eastAsia="仿宋" w:cs="仿宋"/>
          <w:sz w:val="31"/>
          <w:szCs w:val="31"/>
        </w:rPr>
      </w:pPr>
      <w:r>
        <w:rPr>
          <w:rFonts w:hint="eastAsia" w:ascii="仿宋" w:hAnsi="仿宋" w:eastAsia="仿宋"/>
          <w:sz w:val="30"/>
          <w:szCs w:val="30"/>
        </w:rPr>
        <w:t>（二）公务接待费支出年初预算数为0.54万元，决算数为0.39万元，完成预算的72.22 %，决算数较2020年减少 0.25 万元，下降 39.06 %。全年公务接待2批，累计接待28人次，其中外事接待0批，累计接待0人次。</w:t>
      </w:r>
      <w:r>
        <w:rPr>
          <w:rFonts w:ascii="仿宋" w:hAnsi="仿宋" w:eastAsia="仿宋" w:cs="仿宋"/>
          <w:spacing w:val="9"/>
          <w:sz w:val="31"/>
          <w:szCs w:val="31"/>
        </w:rPr>
        <w:t>决算数较年初</w:t>
      </w:r>
      <w:r>
        <w:rPr>
          <w:rFonts w:ascii="仿宋" w:hAnsi="仿宋" w:eastAsia="仿宋" w:cs="仿宋"/>
          <w:spacing w:val="8"/>
          <w:sz w:val="31"/>
          <w:szCs w:val="31"/>
        </w:rPr>
        <w:t>预算数减少的主要原因是受新冠肺炎疫情影响，来联系业务的人员较预计减少。决算数较上年数减少的主要原因是</w:t>
      </w:r>
      <w:r>
        <w:rPr>
          <w:rFonts w:hint="eastAsia" w:ascii="仿宋" w:hAnsi="仿宋" w:eastAsia="仿宋"/>
          <w:sz w:val="30"/>
          <w:szCs w:val="30"/>
        </w:rPr>
        <w:t>中央八项规定，厉行节约,</w:t>
      </w:r>
      <w:r>
        <w:rPr>
          <w:rFonts w:ascii="仿宋" w:hAnsi="仿宋" w:eastAsia="仿宋" w:cs="仿宋"/>
          <w:spacing w:val="8"/>
          <w:sz w:val="31"/>
          <w:szCs w:val="31"/>
        </w:rPr>
        <w:t>大力落实过紧日子要求，公务接</w:t>
      </w:r>
      <w:r>
        <w:rPr>
          <w:rFonts w:ascii="仿宋" w:hAnsi="仿宋" w:eastAsia="仿宋" w:cs="仿宋"/>
          <w:spacing w:val="7"/>
          <w:sz w:val="31"/>
          <w:szCs w:val="31"/>
        </w:rPr>
        <w:t>待批次和人次均有所减少。</w:t>
      </w:r>
    </w:p>
    <w:p>
      <w:pPr>
        <w:ind w:firstLine="630"/>
        <w:jc w:val="left"/>
        <w:rPr>
          <w:rFonts w:hint="eastAsia" w:ascii="仿宋" w:hAnsi="仿宋" w:eastAsia="仿宋"/>
          <w:sz w:val="30"/>
          <w:szCs w:val="30"/>
        </w:rPr>
      </w:pPr>
      <w:r>
        <w:rPr>
          <w:rFonts w:hint="eastAsia" w:ascii="仿宋" w:hAnsi="仿宋" w:eastAsia="仿宋"/>
          <w:sz w:val="30"/>
          <w:szCs w:val="30"/>
        </w:rPr>
        <w:t>（三）公务用车购置及运行维护费支出71.22万元，其中公务用车购置年初预算数为 65.55 万元，决算数为65.55万元，完成预算的100 %，决算数较2020年增加65.55 万元，增长100%。决算数较2020年增加的主要原因是2021年区疾控中心因防控需要购置</w:t>
      </w:r>
      <w:r>
        <w:rPr>
          <w:rFonts w:hint="eastAsia" w:ascii="仿宋" w:hAnsi="仿宋" w:eastAsia="仿宋" w:cs="Times New Roman"/>
          <w:sz w:val="30"/>
          <w:szCs w:val="30"/>
          <w:lang w:val="en-US" w:eastAsia="zh-CN"/>
        </w:rPr>
        <w:t>疫苗运输车一辆和疫情处置专用车两辆</w:t>
      </w:r>
      <w:r>
        <w:rPr>
          <w:rFonts w:hint="eastAsia" w:ascii="仿宋" w:hAnsi="仿宋" w:eastAsia="仿宋"/>
          <w:sz w:val="30"/>
          <w:szCs w:val="30"/>
        </w:rPr>
        <w:t>。公务用车运行维护费支出年初预算数为5.67万元，决算数为5.67 万元，完成预算的100%，决算数较2020年增加4.35万元，增长32</w:t>
      </w:r>
      <w:r>
        <w:rPr>
          <w:rFonts w:hint="eastAsia" w:ascii="仿宋" w:hAnsi="仿宋" w:eastAsia="仿宋"/>
          <w:sz w:val="30"/>
          <w:szCs w:val="30"/>
          <w:lang w:val="en-US" w:eastAsia="zh-CN"/>
        </w:rPr>
        <w:t>9.54</w:t>
      </w:r>
      <w:r>
        <w:rPr>
          <w:rFonts w:hint="eastAsia" w:ascii="仿宋" w:hAnsi="仿宋" w:eastAsia="仿宋"/>
          <w:sz w:val="30"/>
          <w:szCs w:val="30"/>
        </w:rPr>
        <w:t>%。决算数较2020年增长的主要原因是区疾控中心因疫情防控需要购置车辆，相应增加支出。年末公务用车保有量5辆。</w:t>
      </w:r>
    </w:p>
    <w:p>
      <w:pPr>
        <w:ind w:firstLine="630"/>
        <w:jc w:val="left"/>
        <w:rPr>
          <w:rFonts w:hint="eastAsia" w:ascii="黑体" w:hAnsi="黑体" w:eastAsia="黑体"/>
          <w:sz w:val="30"/>
          <w:szCs w:val="30"/>
        </w:rPr>
      </w:pPr>
      <w:r>
        <w:rPr>
          <w:rFonts w:hint="eastAsia" w:ascii="黑体" w:hAnsi="黑体" w:eastAsia="黑体"/>
          <w:sz w:val="30"/>
          <w:szCs w:val="30"/>
        </w:rPr>
        <w:t>六、机关运行经费支出情况说明</w:t>
      </w:r>
    </w:p>
    <w:p>
      <w:pPr>
        <w:ind w:firstLine="630"/>
        <w:jc w:val="left"/>
        <w:rPr>
          <w:rFonts w:hint="eastAsia" w:ascii="仿宋" w:hAnsi="仿宋" w:eastAsia="仿宋"/>
          <w:sz w:val="30"/>
          <w:szCs w:val="30"/>
        </w:rPr>
      </w:pPr>
      <w:r>
        <w:rPr>
          <w:rFonts w:hint="eastAsia" w:ascii="仿宋" w:hAnsi="仿宋" w:eastAsia="仿宋"/>
          <w:sz w:val="30"/>
          <w:szCs w:val="30"/>
        </w:rPr>
        <w:t>本部门2021年度机关运行经费支出</w:t>
      </w:r>
      <w:r>
        <w:rPr>
          <w:rFonts w:hint="eastAsia" w:ascii="仿宋" w:hAnsi="仿宋" w:eastAsia="仿宋"/>
          <w:sz w:val="30"/>
          <w:szCs w:val="30"/>
          <w:lang w:val="en-US" w:eastAsia="zh-CN"/>
        </w:rPr>
        <w:t>7.91</w:t>
      </w:r>
      <w:r>
        <w:rPr>
          <w:rFonts w:hint="eastAsia" w:ascii="仿宋" w:hAnsi="仿宋" w:eastAsia="仿宋"/>
          <w:sz w:val="30"/>
          <w:szCs w:val="30"/>
        </w:rPr>
        <w:t>万元，</w:t>
      </w:r>
      <w:r>
        <w:rPr>
          <w:rFonts w:hint="eastAsia" w:ascii="仿宋_GB2312" w:hAnsi="仿宋_GB2312" w:eastAsia="仿宋_GB2312"/>
          <w:sz w:val="30"/>
          <w:szCs w:val="30"/>
        </w:rPr>
        <w:t>较年初预算数减少</w:t>
      </w:r>
      <w:r>
        <w:rPr>
          <w:rFonts w:hint="eastAsia" w:ascii="仿宋_GB2312" w:hAnsi="仿宋_GB2312" w:eastAsia="仿宋_GB2312"/>
          <w:sz w:val="30"/>
          <w:szCs w:val="30"/>
          <w:lang w:val="en-US" w:eastAsia="zh-CN"/>
        </w:rPr>
        <w:t>5.05</w:t>
      </w:r>
      <w:r>
        <w:rPr>
          <w:rFonts w:hint="eastAsia" w:ascii="仿宋_GB2312" w:hAnsi="仿宋_GB2312" w:eastAsia="仿宋_GB2312"/>
          <w:sz w:val="30"/>
          <w:szCs w:val="30"/>
        </w:rPr>
        <w:t xml:space="preserve"> 万元，降低</w:t>
      </w:r>
      <w:r>
        <w:rPr>
          <w:rFonts w:hint="eastAsia" w:ascii="仿宋" w:hAnsi="仿宋" w:eastAsia="仿宋"/>
          <w:sz w:val="30"/>
          <w:szCs w:val="30"/>
          <w:lang w:val="en-US" w:eastAsia="zh-CN"/>
        </w:rPr>
        <w:t>38.97</w:t>
      </w:r>
      <w:r>
        <w:rPr>
          <w:rFonts w:hint="eastAsia" w:ascii="仿宋" w:hAnsi="仿宋" w:eastAsia="仿宋"/>
          <w:sz w:val="30"/>
          <w:szCs w:val="30"/>
        </w:rPr>
        <w:t>%，</w:t>
      </w:r>
      <w:r>
        <w:rPr>
          <w:rFonts w:hint="eastAsia" w:ascii="仿宋" w:hAnsi="仿宋" w:eastAsia="仿宋" w:cs="Times New Roman"/>
          <w:sz w:val="30"/>
          <w:szCs w:val="30"/>
        </w:rPr>
        <w:t>主要原因是：落实过紧日子要求</w:t>
      </w:r>
      <w:r>
        <w:rPr>
          <w:rFonts w:hint="eastAsia" w:ascii="仿宋" w:hAnsi="仿宋" w:eastAsia="仿宋" w:cs="Times New Roman"/>
          <w:sz w:val="30"/>
          <w:szCs w:val="30"/>
          <w:lang w:eastAsia="zh-CN"/>
        </w:rPr>
        <w:t>，</w:t>
      </w:r>
      <w:r>
        <w:rPr>
          <w:rFonts w:hint="eastAsia" w:ascii="仿宋" w:hAnsi="仿宋" w:eastAsia="仿宋" w:cs="Times New Roman"/>
          <w:sz w:val="30"/>
          <w:szCs w:val="30"/>
        </w:rPr>
        <w:t>压减</w:t>
      </w:r>
      <w:r>
        <w:rPr>
          <w:rFonts w:hint="eastAsia" w:ascii="仿宋" w:hAnsi="仿宋" w:eastAsia="仿宋" w:cs="Times New Roman"/>
          <w:sz w:val="30"/>
          <w:szCs w:val="30"/>
          <w:lang w:val="en-US" w:eastAsia="zh-CN"/>
        </w:rPr>
        <w:t>印刷办公费</w:t>
      </w:r>
      <w:r>
        <w:rPr>
          <w:rFonts w:hint="eastAsia" w:ascii="仿宋" w:hAnsi="仿宋" w:eastAsia="仿宋" w:cs="Times New Roman"/>
          <w:sz w:val="30"/>
          <w:szCs w:val="30"/>
        </w:rPr>
        <w:t>支出</w:t>
      </w:r>
      <w:r>
        <w:rPr>
          <w:rFonts w:hint="eastAsia" w:ascii="仿宋" w:hAnsi="仿宋" w:eastAsia="仿宋" w:cs="Times New Roman"/>
          <w:sz w:val="30"/>
          <w:szCs w:val="30"/>
          <w:lang w:eastAsia="zh-CN"/>
        </w:rPr>
        <w:t>。</w:t>
      </w:r>
    </w:p>
    <w:p>
      <w:pPr>
        <w:spacing w:before="240" w:line="376" w:lineRule="auto"/>
        <w:ind w:left="36" w:right="114" w:firstLine="628"/>
        <w:rPr>
          <w:rFonts w:ascii="黑体" w:hAnsi="黑体" w:eastAsia="黑体"/>
          <w:sz w:val="30"/>
          <w:szCs w:val="30"/>
        </w:rPr>
      </w:pPr>
      <w:r>
        <w:rPr>
          <w:rFonts w:hint="eastAsia" w:ascii="仿宋" w:hAnsi="仿宋" w:eastAsia="仿宋"/>
          <w:sz w:val="30"/>
          <w:szCs w:val="30"/>
        </w:rPr>
        <w:t xml:space="preserve"> </w:t>
      </w:r>
      <w:r>
        <w:rPr>
          <w:rFonts w:hint="eastAsia" w:ascii="黑体" w:hAnsi="黑体" w:eastAsia="黑体"/>
          <w:sz w:val="30"/>
          <w:szCs w:val="30"/>
        </w:rPr>
        <w:t>七、政府采购支出情况说明</w:t>
      </w:r>
    </w:p>
    <w:p>
      <w:pPr>
        <w:pStyle w:val="8"/>
        <w:spacing w:line="600" w:lineRule="atLeast"/>
        <w:ind w:firstLine="600"/>
        <w:rPr>
          <w:rFonts w:hint="eastAsia" w:ascii="仿宋" w:hAnsi="仿宋" w:eastAsia="仿宋"/>
          <w:sz w:val="30"/>
          <w:szCs w:val="30"/>
        </w:rPr>
      </w:pPr>
      <w:r>
        <w:rPr>
          <w:rFonts w:hint="eastAsia" w:ascii="仿宋" w:hAnsi="仿宋" w:eastAsia="仿宋"/>
          <w:sz w:val="30"/>
          <w:szCs w:val="30"/>
        </w:rPr>
        <w:t>本部门2021年度政府采购支出总额1012.04万元，其中：政府采购货物支出 927.04万元、政府采购工程支出 0万元、政府采购服务支出85万元。授予中小企业合同金额 1012.04万元，占政府采购支出总额的100 %，其中：授予小微企业合同金额1012.04万元，占政府采购支出总额的100 %</w:t>
      </w:r>
      <w:r>
        <w:rPr>
          <w:rFonts w:hint="eastAsia" w:ascii="仿宋" w:hAnsi="仿宋" w:eastAsia="仿宋"/>
          <w:sz w:val="30"/>
          <w:szCs w:val="30"/>
          <w:lang w:val="en-US" w:eastAsia="zh-CN"/>
        </w:rPr>
        <w:t>；</w:t>
      </w:r>
      <w:r>
        <w:rPr>
          <w:rFonts w:hint="eastAsia" w:ascii="仿宋_GB2312" w:hAnsi="仿宋_GB2312" w:eastAsia="仿宋_GB2312"/>
          <w:color w:val="auto"/>
          <w:sz w:val="30"/>
          <w:szCs w:val="30"/>
          <w:lang w:val="en-US" w:eastAsia="zh-CN"/>
        </w:rPr>
        <w:t>货物采购授予中小企业合同金额占货物支出金额的100%，工程采购授予中小企业合同金额占工程支出金额的0%，服务采购授予中小企业合同金额占服务支出金额的100%。</w:t>
      </w:r>
    </w:p>
    <w:p>
      <w:pPr>
        <w:ind w:firstLine="630"/>
        <w:jc w:val="left"/>
        <w:rPr>
          <w:rFonts w:hint="eastAsia" w:ascii="黑体" w:hAnsi="黑体" w:eastAsia="黑体"/>
          <w:sz w:val="30"/>
          <w:szCs w:val="30"/>
        </w:rPr>
      </w:pPr>
      <w:r>
        <w:rPr>
          <w:rFonts w:hint="eastAsia" w:ascii="黑体" w:hAnsi="黑体" w:eastAsia="黑体"/>
          <w:sz w:val="30"/>
          <w:szCs w:val="30"/>
        </w:rPr>
        <w:t>八、国有资产占用情况说明。</w:t>
      </w:r>
    </w:p>
    <w:p>
      <w:pPr>
        <w:ind w:firstLine="630"/>
        <w:jc w:val="left"/>
        <w:rPr>
          <w:rFonts w:hint="eastAsia" w:ascii="仿宋" w:hAnsi="仿宋" w:eastAsia="仿宋"/>
          <w:kern w:val="0"/>
          <w:sz w:val="30"/>
          <w:szCs w:val="30"/>
        </w:rPr>
      </w:pPr>
      <w:r>
        <w:rPr>
          <w:rFonts w:hint="eastAsia" w:ascii="仿宋" w:hAnsi="仿宋" w:eastAsia="仿宋"/>
          <w:kern w:val="0"/>
          <w:sz w:val="30"/>
          <w:szCs w:val="30"/>
        </w:rPr>
        <w:t>截止2021年12月31日，本部门共有车辆 9辆，其中，副部（省）级及以上领导用车 0 辆、主要领导干部用车 0 辆、机要通信用车0 辆、应急保障用车 3 辆、执法执勤用车 0 辆、特种专业技术用车1 辆、其他用车 5 辆，</w:t>
      </w:r>
      <w:r>
        <w:rPr>
          <w:rFonts w:hint="eastAsia" w:ascii="仿宋" w:hAnsi="仿宋" w:eastAsia="仿宋"/>
          <w:kern w:val="0"/>
          <w:sz w:val="30"/>
          <w:szCs w:val="30"/>
          <w:lang w:val="en-US" w:eastAsia="zh-CN"/>
        </w:rPr>
        <w:t>其中车辆中的其他用车主要是：</w:t>
      </w:r>
      <w:r>
        <w:rPr>
          <w:rFonts w:hint="eastAsia" w:ascii="仿宋" w:hAnsi="仿宋" w:eastAsia="仿宋" w:cs="仿宋"/>
          <w:spacing w:val="3"/>
          <w:sz w:val="31"/>
          <w:szCs w:val="31"/>
        </w:rPr>
        <w:t>疫苗运输车</w:t>
      </w:r>
      <w:r>
        <w:rPr>
          <w:rFonts w:hint="eastAsia" w:ascii="仿宋" w:hAnsi="仿宋" w:eastAsia="仿宋" w:cs="仿宋"/>
          <w:spacing w:val="3"/>
          <w:sz w:val="31"/>
          <w:szCs w:val="31"/>
          <w:lang w:val="en-US" w:eastAsia="zh-CN"/>
        </w:rPr>
        <w:t>2</w:t>
      </w:r>
      <w:r>
        <w:rPr>
          <w:rFonts w:ascii="仿宋" w:hAnsi="仿宋" w:eastAsia="仿宋" w:cs="仿宋"/>
          <w:spacing w:val="3"/>
          <w:sz w:val="31"/>
          <w:szCs w:val="31"/>
        </w:rPr>
        <w:t>辆</w:t>
      </w:r>
      <w:r>
        <w:rPr>
          <w:rFonts w:hint="eastAsia" w:ascii="仿宋" w:hAnsi="仿宋" w:eastAsia="仿宋" w:cs="仿宋"/>
          <w:spacing w:val="3"/>
          <w:sz w:val="31"/>
          <w:szCs w:val="31"/>
          <w:lang w:eastAsia="zh-CN"/>
        </w:rPr>
        <w:t>，</w:t>
      </w:r>
      <w:r>
        <w:rPr>
          <w:rFonts w:hint="eastAsia" w:ascii="仿宋" w:hAnsi="仿宋" w:eastAsia="仿宋" w:cs="仿宋"/>
          <w:spacing w:val="3"/>
          <w:sz w:val="31"/>
          <w:szCs w:val="31"/>
          <w:lang w:val="en-US" w:eastAsia="zh-CN"/>
        </w:rPr>
        <w:t>救护车3辆。</w:t>
      </w:r>
      <w:r>
        <w:rPr>
          <w:rFonts w:hint="eastAsia" w:ascii="仿宋" w:hAnsi="仿宋" w:eastAsia="仿宋"/>
          <w:kern w:val="0"/>
          <w:sz w:val="30"/>
          <w:szCs w:val="30"/>
        </w:rPr>
        <w:t>单位价值50万元以上通用设备 3台；单位价值100万元以上专用设备 0台。</w:t>
      </w:r>
    </w:p>
    <w:p>
      <w:pPr>
        <w:ind w:firstLine="630"/>
        <w:jc w:val="left"/>
        <w:rPr>
          <w:rFonts w:hint="eastAsia" w:ascii="黑体" w:hAnsi="黑体" w:eastAsia="黑体"/>
          <w:sz w:val="30"/>
          <w:szCs w:val="30"/>
        </w:rPr>
      </w:pPr>
      <w:r>
        <w:rPr>
          <w:rFonts w:hint="eastAsia" w:ascii="黑体" w:hAnsi="黑体" w:eastAsia="黑体"/>
          <w:sz w:val="30"/>
          <w:szCs w:val="30"/>
        </w:rPr>
        <w:t>九、预算绩效情况说明</w:t>
      </w:r>
    </w:p>
    <w:p>
      <w:pPr>
        <w:ind w:firstLine="450" w:firstLineChars="150"/>
        <w:jc w:val="left"/>
        <w:rPr>
          <w:rFonts w:hint="eastAsia" w:ascii="仿宋" w:hAnsi="仿宋" w:eastAsia="仿宋"/>
          <w:sz w:val="30"/>
          <w:szCs w:val="30"/>
        </w:rPr>
      </w:pPr>
      <w:r>
        <w:rPr>
          <w:rFonts w:hint="eastAsia" w:ascii="仿宋" w:hAnsi="仿宋" w:eastAsia="仿宋"/>
          <w:sz w:val="30"/>
          <w:szCs w:val="30"/>
        </w:rPr>
        <w:t>（一）绩效管理工作开展情况。</w:t>
      </w:r>
    </w:p>
    <w:p>
      <w:pPr>
        <w:ind w:firstLine="630"/>
        <w:jc w:val="left"/>
        <w:rPr>
          <w:rFonts w:ascii="仿宋" w:hAnsi="仿宋" w:eastAsia="仿宋"/>
          <w:kern w:val="0"/>
          <w:sz w:val="30"/>
          <w:szCs w:val="30"/>
        </w:rPr>
      </w:pPr>
      <w:r>
        <w:rPr>
          <w:rFonts w:hint="eastAsia" w:ascii="仿宋" w:hAnsi="仿宋" w:eastAsia="仿宋"/>
          <w:kern w:val="0"/>
          <w:sz w:val="30"/>
          <w:szCs w:val="30"/>
        </w:rPr>
        <w:t>根据预算绩效管理要求，我部门组织对</w:t>
      </w:r>
      <w:r>
        <w:rPr>
          <w:rFonts w:ascii="仿宋" w:hAnsi="仿宋" w:eastAsia="仿宋"/>
          <w:kern w:val="0"/>
          <w:sz w:val="30"/>
          <w:szCs w:val="30"/>
        </w:rPr>
        <w:t>20</w:t>
      </w:r>
      <w:r>
        <w:rPr>
          <w:rFonts w:hint="eastAsia" w:ascii="仿宋" w:hAnsi="仿宋" w:eastAsia="仿宋"/>
          <w:kern w:val="0"/>
          <w:sz w:val="30"/>
          <w:szCs w:val="30"/>
        </w:rPr>
        <w:t>21年度一般公共预算项目支出全面开展绩效自评，共18个二级项目，共涉及资金 16032.85万元，占一般公共预算项目支出总额的 100%。</w:t>
      </w:r>
    </w:p>
    <w:p>
      <w:pPr>
        <w:ind w:firstLine="450" w:firstLineChars="150"/>
        <w:jc w:val="left"/>
        <w:rPr>
          <w:rFonts w:ascii="仿宋" w:hAnsi="仿宋" w:eastAsia="仿宋"/>
          <w:kern w:val="0"/>
          <w:sz w:val="30"/>
          <w:szCs w:val="30"/>
        </w:rPr>
      </w:pPr>
      <w:r>
        <w:rPr>
          <w:rFonts w:hint="eastAsia" w:ascii="仿宋" w:hAnsi="仿宋" w:eastAsia="仿宋"/>
          <w:kern w:val="0"/>
          <w:sz w:val="30"/>
          <w:szCs w:val="30"/>
        </w:rPr>
        <w:t xml:space="preserve"> 组织对 “城镇独生子女父母奖励”、“新冠肺炎防控经费”、“艾滋病防治经费”等18个项目开展了部门评价，涉及一般公共预算支出15580.57万元，政府性基金预算支出 452.28万元，国有资本预算支出  0 万元。从评价情况来看，项目制定了较完善的项目工作实施方案，对活动对象、内容、要求、责任分工等进行了规范，使得项目得以顺利实施，充分发挥职能部门作用。</w:t>
      </w:r>
    </w:p>
    <w:p>
      <w:pPr>
        <w:pStyle w:val="9"/>
        <w:snapToGrid w:val="0"/>
        <w:spacing w:line="560" w:lineRule="exact"/>
        <w:ind w:firstLine="600" w:firstLineChars="200"/>
        <w:rPr>
          <w:rFonts w:ascii="仿宋" w:hAnsi="仿宋" w:eastAsia="仿宋" w:cs="Times New Roman"/>
          <w:sz w:val="30"/>
          <w:szCs w:val="30"/>
        </w:rPr>
      </w:pPr>
      <w:r>
        <w:rPr>
          <w:rFonts w:hint="eastAsia" w:ascii="仿宋" w:hAnsi="仿宋" w:eastAsia="仿宋" w:cs="Times New Roman"/>
          <w:kern w:val="0"/>
          <w:sz w:val="30"/>
          <w:szCs w:val="30"/>
        </w:rPr>
        <w:t>组织开展部门整体支出绩效评价，涉及一般公共预算支出 19636.98 万元，政府性基金预算支出 452.28 万元。从评价情况来看，各部门单位</w:t>
      </w:r>
      <w:r>
        <w:rPr>
          <w:rFonts w:ascii="仿宋" w:hAnsi="仿宋" w:eastAsia="仿宋" w:cs="Times New Roman"/>
          <w:kern w:val="0"/>
          <w:sz w:val="30"/>
          <w:szCs w:val="30"/>
        </w:rPr>
        <w:t>统筹</w:t>
      </w:r>
      <w:r>
        <w:rPr>
          <w:rFonts w:ascii="仿宋" w:hAnsi="仿宋" w:eastAsia="仿宋" w:cs="Times New Roman"/>
          <w:sz w:val="30"/>
          <w:szCs w:val="30"/>
        </w:rPr>
        <w:t>疫情防控和卫生健康事业发展，各项工作取得积极进展和明显成效</w:t>
      </w:r>
      <w:r>
        <w:rPr>
          <w:rFonts w:hint="eastAsia" w:ascii="仿宋" w:hAnsi="仿宋" w:eastAsia="仿宋" w:cs="Times New Roman"/>
          <w:sz w:val="30"/>
          <w:szCs w:val="30"/>
        </w:rPr>
        <w:t>，</w:t>
      </w:r>
      <w:r>
        <w:rPr>
          <w:rFonts w:ascii="仿宋" w:hAnsi="仿宋" w:eastAsia="仿宋" w:cs="Times New Roman"/>
          <w:sz w:val="30"/>
          <w:szCs w:val="30"/>
        </w:rPr>
        <w:t>较好完成</w:t>
      </w:r>
      <w:r>
        <w:rPr>
          <w:rFonts w:hint="eastAsia" w:ascii="仿宋" w:hAnsi="仿宋" w:eastAsia="仿宋" w:cs="Times New Roman"/>
          <w:sz w:val="30"/>
          <w:szCs w:val="30"/>
        </w:rPr>
        <w:t>各</w:t>
      </w:r>
      <w:r>
        <w:rPr>
          <w:rFonts w:ascii="仿宋" w:hAnsi="仿宋" w:eastAsia="仿宋" w:cs="Times New Roman"/>
          <w:sz w:val="30"/>
          <w:szCs w:val="30"/>
        </w:rPr>
        <w:t>部门单位主要职责，完成了年初既定的工作任务。</w:t>
      </w:r>
    </w:p>
    <w:p>
      <w:pPr>
        <w:autoSpaceDE w:val="0"/>
        <w:autoSpaceDN w:val="0"/>
        <w:adjustRightInd w:val="0"/>
        <w:spacing w:line="360" w:lineRule="auto"/>
        <w:ind w:firstLine="600" w:firstLineChars="2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（二）部门决算中项目绩效自评情况。</w:t>
      </w:r>
    </w:p>
    <w:p>
      <w:pPr>
        <w:ind w:firstLine="600" w:firstLineChars="200"/>
        <w:jc w:val="left"/>
        <w:rPr>
          <w:rFonts w:ascii="仿宋" w:hAnsi="仿宋" w:eastAsia="仿宋"/>
          <w:color w:val="000000" w:themeColor="text1"/>
          <w:kern w:val="0"/>
          <w:sz w:val="30"/>
          <w:szCs w:val="30"/>
          <w:highlight w:val="none"/>
          <w14:textFill>
            <w14:solidFill>
              <w14:schemeClr w14:val="tx1"/>
            </w14:solidFill>
          </w14:textFill>
        </w:rPr>
      </w:pPr>
      <w:r>
        <w:rPr>
          <w:rFonts w:hint="eastAsia" w:ascii="仿宋_GB2312" w:hAnsi="仿宋_GB2312" w:eastAsia="仿宋_GB2312" w:cs="仿宋_GB2312"/>
          <w:kern w:val="0"/>
          <w:sz w:val="30"/>
          <w:szCs w:val="30"/>
        </w:rPr>
        <w:t>部门决算中对年初18个项目进行了自评。</w:t>
      </w:r>
      <w:r>
        <w:rPr>
          <w:rFonts w:hint="eastAsia" w:ascii="仿宋_GB2312" w:eastAsia="仿宋_GB2312"/>
          <w:sz w:val="32"/>
          <w:szCs w:val="32"/>
        </w:rPr>
        <w:t>围绕绩效评价指标体系，通过数据采集分析，实地检查，</w:t>
      </w:r>
      <w:r>
        <w:rPr>
          <w:rFonts w:hint="eastAsia" w:hAnsi="仿宋" w:eastAsia="仿宋"/>
          <w:kern w:val="0"/>
          <w:sz w:val="32"/>
          <w:szCs w:val="32"/>
          <w:shd w:val="clear" w:color="auto" w:fill="FFFFFF"/>
        </w:rPr>
        <w:t>电话抽查受益群众等</w:t>
      </w:r>
      <w:r>
        <w:rPr>
          <w:rFonts w:hint="eastAsia" w:ascii="仿宋_GB2312" w:eastAsia="仿宋_GB2312"/>
          <w:sz w:val="32"/>
          <w:szCs w:val="32"/>
        </w:rPr>
        <w:t>方式，对各项目进行了客观、公开评价，最终评价等级为优。</w:t>
      </w:r>
      <w:r>
        <w:rPr>
          <w:rFonts w:hint="eastAsia" w:ascii="仿宋" w:hAnsi="仿宋" w:eastAsia="仿宋"/>
          <w:color w:val="000000" w:themeColor="text1"/>
          <w:kern w:val="0"/>
          <w:sz w:val="30"/>
          <w:szCs w:val="30"/>
          <w:highlight w:val="none"/>
          <w14:textFill>
            <w14:solidFill>
              <w14:schemeClr w14:val="tx1"/>
            </w14:solidFill>
          </w14:textFill>
        </w:rPr>
        <w:t>（详见附件</w:t>
      </w:r>
      <w:r>
        <w:rPr>
          <w:rFonts w:hint="eastAsia" w:ascii="仿宋" w:hAnsi="仿宋" w:eastAsia="仿宋" w:cs="仿宋_GB2312"/>
          <w:color w:val="000000" w:themeColor="text1"/>
          <w:kern w:val="0"/>
          <w:sz w:val="30"/>
          <w:szCs w:val="30"/>
          <w:highlight w:val="none"/>
          <w:lang w:val="en-US" w:eastAsia="zh-CN"/>
          <w14:textFill>
            <w14:solidFill>
              <w14:schemeClr w14:val="tx1"/>
            </w14:solidFill>
          </w14:textFill>
        </w:rPr>
        <w:t>1</w:t>
      </w:r>
      <w:r>
        <w:rPr>
          <w:rFonts w:hint="eastAsia" w:ascii="仿宋" w:hAnsi="仿宋" w:eastAsia="仿宋" w:cs="仿宋_GB2312"/>
          <w:color w:val="000000" w:themeColor="text1"/>
          <w:kern w:val="0"/>
          <w:sz w:val="30"/>
          <w:szCs w:val="30"/>
          <w:highlight w:val="none"/>
          <w14:textFill>
            <w14:solidFill>
              <w14:schemeClr w14:val="tx1"/>
            </w14:solidFill>
          </w14:textFill>
        </w:rPr>
        <w:t>：《</w:t>
      </w:r>
      <w:r>
        <w:rPr>
          <w:rFonts w:hint="default"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绩效自评总报告</w:t>
      </w:r>
      <w:r>
        <w:rPr>
          <w:rFonts w:hint="eastAsia" w:ascii="仿宋" w:hAnsi="仿宋" w:eastAsia="仿宋" w:cs="仿宋_GB2312"/>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w:t>
      </w:r>
      <w:r>
        <w:rPr>
          <w:rFonts w:hint="eastAsia" w:ascii="仿宋" w:hAnsi="仿宋" w:eastAsia="仿宋"/>
          <w:color w:val="000000" w:themeColor="text1"/>
          <w:kern w:val="0"/>
          <w:sz w:val="30"/>
          <w:szCs w:val="30"/>
          <w:highlight w:val="none"/>
          <w14:textFill>
            <w14:solidFill>
              <w14:schemeClr w14:val="tx1"/>
            </w14:solidFill>
          </w14:textFill>
        </w:rPr>
        <w:t>附件</w:t>
      </w:r>
      <w:r>
        <w:rPr>
          <w:rFonts w:hint="eastAsia" w:ascii="仿宋" w:hAnsi="仿宋" w:eastAsia="仿宋" w:cs="仿宋_GB2312"/>
          <w:color w:val="000000" w:themeColor="text1"/>
          <w:kern w:val="0"/>
          <w:sz w:val="30"/>
          <w:szCs w:val="30"/>
          <w:highlight w:val="none"/>
          <w:lang w:val="en-US" w:eastAsia="zh-CN"/>
          <w14:textFill>
            <w14:solidFill>
              <w14:schemeClr w14:val="tx1"/>
            </w14:solidFill>
          </w14:textFill>
        </w:rPr>
        <w:t>2</w:t>
      </w:r>
      <w:r>
        <w:rPr>
          <w:rFonts w:hint="eastAsia" w:ascii="仿宋" w:hAnsi="仿宋" w:eastAsia="仿宋" w:cs="仿宋_GB2312"/>
          <w:color w:val="000000" w:themeColor="text1"/>
          <w:kern w:val="0"/>
          <w:sz w:val="30"/>
          <w:szCs w:val="30"/>
          <w:highlight w:val="none"/>
          <w14:textFill>
            <w14:solidFill>
              <w14:schemeClr w14:val="tx1"/>
            </w14:solidFill>
          </w14:textFill>
        </w:rPr>
        <w:t>：</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w:t>
      </w:r>
      <w:r>
        <w:rPr>
          <w:rFonts w:hint="eastAsia" w:ascii="仿宋" w:hAnsi="仿宋" w:eastAsia="仿宋" w:cs="仿宋_GB2312"/>
          <w:color w:val="000000" w:themeColor="text1"/>
          <w:kern w:val="0"/>
          <w:sz w:val="30"/>
          <w:szCs w:val="30"/>
          <w:highlight w:val="none"/>
          <w14:textFill>
            <w14:solidFill>
              <w14:schemeClr w14:val="tx1"/>
            </w14:solidFill>
          </w14:textFill>
        </w:rPr>
        <w:t>城镇独生子女父母奖励</w:t>
      </w:r>
      <w:r>
        <w:rPr>
          <w:rFonts w:hint="eastAsia" w:ascii="仿宋_GB2312" w:hAnsi="仿宋_GB2312" w:eastAsia="仿宋_GB2312" w:cs="仿宋_GB2312"/>
          <w:color w:val="000000" w:themeColor="text1"/>
          <w:kern w:val="0"/>
          <w:sz w:val="30"/>
          <w:szCs w:val="30"/>
          <w:highlight w:val="none"/>
          <w:lang w:val="en-US" w:eastAsia="zh-CN"/>
          <w14:textFill>
            <w14:solidFill>
              <w14:schemeClr w14:val="tx1"/>
            </w14:solidFill>
          </w14:textFill>
        </w:rPr>
        <w:t>项目支出绩效自评表》、</w:t>
      </w:r>
      <w:r>
        <w:rPr>
          <w:rFonts w:hint="eastAsia" w:ascii="仿宋" w:hAnsi="仿宋" w:eastAsia="仿宋"/>
          <w:color w:val="000000" w:themeColor="text1"/>
          <w:kern w:val="0"/>
          <w:sz w:val="30"/>
          <w:szCs w:val="30"/>
          <w:highlight w:val="none"/>
          <w14:textFill>
            <w14:solidFill>
              <w14:schemeClr w14:val="tx1"/>
            </w14:solidFill>
          </w14:textFill>
        </w:rPr>
        <w:t>附件</w:t>
      </w:r>
      <w:r>
        <w:rPr>
          <w:rFonts w:hint="eastAsia" w:ascii="仿宋" w:hAnsi="仿宋" w:eastAsia="仿宋" w:cs="仿宋_GB2312"/>
          <w:color w:val="000000" w:themeColor="text1"/>
          <w:kern w:val="0"/>
          <w:sz w:val="30"/>
          <w:szCs w:val="30"/>
          <w:highlight w:val="none"/>
          <w:lang w:val="en-US" w:eastAsia="zh-CN"/>
          <w14:textFill>
            <w14:solidFill>
              <w14:schemeClr w14:val="tx1"/>
            </w14:solidFill>
          </w14:textFill>
        </w:rPr>
        <w:t>3</w:t>
      </w:r>
      <w:r>
        <w:rPr>
          <w:rFonts w:hint="eastAsia" w:ascii="仿宋" w:hAnsi="仿宋" w:eastAsia="仿宋" w:cs="仿宋_GB2312"/>
          <w:color w:val="000000" w:themeColor="text1"/>
          <w:kern w:val="0"/>
          <w:sz w:val="30"/>
          <w:szCs w:val="30"/>
          <w:highlight w:val="none"/>
          <w14:textFill>
            <w14:solidFill>
              <w14:schemeClr w14:val="tx1"/>
            </w14:solidFill>
          </w14:textFill>
        </w:rPr>
        <w:t>：《艾滋病防治经费项目支出绩效自评表》</w:t>
      </w:r>
      <w:r>
        <w:rPr>
          <w:rFonts w:hint="eastAsia" w:ascii="仿宋" w:hAnsi="仿宋" w:eastAsia="仿宋"/>
          <w:color w:val="000000" w:themeColor="text1"/>
          <w:kern w:val="0"/>
          <w:sz w:val="30"/>
          <w:szCs w:val="30"/>
          <w:highlight w:val="none"/>
          <w14:textFill>
            <w14:solidFill>
              <w14:schemeClr w14:val="tx1"/>
            </w14:solidFill>
          </w14:textFill>
        </w:rPr>
        <w:t>）</w:t>
      </w:r>
    </w:p>
    <w:p>
      <w:pPr>
        <w:autoSpaceDE w:val="0"/>
        <w:autoSpaceDN w:val="0"/>
        <w:adjustRightInd w:val="0"/>
        <w:spacing w:line="360" w:lineRule="auto"/>
        <w:ind w:firstLine="600"/>
        <w:jc w:val="left"/>
        <w:rPr>
          <w:rFonts w:hint="eastAsia"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（三）部门评价项目绩效评价情况。</w:t>
      </w:r>
    </w:p>
    <w:p>
      <w:pPr>
        <w:ind w:firstLine="600" w:firstLineChars="200"/>
        <w:jc w:val="left"/>
        <w:rPr>
          <w:rFonts w:hint="eastAsia" w:ascii="仿宋" w:hAnsi="仿宋" w:eastAsia="仿宋"/>
          <w:kern w:val="0"/>
          <w:sz w:val="30"/>
          <w:szCs w:val="30"/>
        </w:rPr>
      </w:pPr>
      <w:r>
        <w:rPr>
          <w:rFonts w:hint="eastAsia" w:ascii="仿宋" w:hAnsi="仿宋" w:eastAsia="仿宋"/>
          <w:kern w:val="0"/>
          <w:sz w:val="30"/>
          <w:szCs w:val="30"/>
        </w:rPr>
        <w:t>我委今年在部门决算中反映</w:t>
      </w:r>
      <w:r>
        <w:rPr>
          <w:rFonts w:hint="eastAsia" w:ascii="仿宋" w:hAnsi="仿宋" w:eastAsia="仿宋"/>
          <w:kern w:val="0"/>
          <w:sz w:val="30"/>
          <w:szCs w:val="30"/>
          <w:lang w:eastAsia="zh-CN"/>
        </w:rPr>
        <w:t>“</w:t>
      </w:r>
      <w:r>
        <w:rPr>
          <w:rFonts w:hint="eastAsia" w:ascii="仿宋" w:hAnsi="仿宋" w:eastAsia="仿宋"/>
          <w:kern w:val="0"/>
          <w:sz w:val="30"/>
          <w:szCs w:val="30"/>
        </w:rPr>
        <w:t>城镇独生子女父母奖励</w:t>
      </w:r>
      <w:r>
        <w:rPr>
          <w:rFonts w:hint="eastAsia" w:ascii="仿宋" w:hAnsi="仿宋" w:eastAsia="仿宋"/>
          <w:kern w:val="0"/>
          <w:sz w:val="30"/>
          <w:szCs w:val="30"/>
          <w:lang w:eastAsia="zh-CN"/>
        </w:rPr>
        <w:t>”</w:t>
      </w:r>
      <w:r>
        <w:rPr>
          <w:rFonts w:hint="eastAsia" w:ascii="仿宋" w:hAnsi="仿宋" w:eastAsia="仿宋"/>
          <w:kern w:val="0"/>
          <w:sz w:val="30"/>
          <w:szCs w:val="30"/>
          <w:lang w:val="en-US" w:eastAsia="zh-CN"/>
        </w:rPr>
        <w:t>及“</w:t>
      </w:r>
      <w:r>
        <w:rPr>
          <w:rFonts w:hint="eastAsia" w:ascii="仿宋" w:hAnsi="仿宋" w:eastAsia="仿宋"/>
          <w:kern w:val="0"/>
          <w:sz w:val="30"/>
          <w:szCs w:val="30"/>
        </w:rPr>
        <w:t>艾滋病防治经费</w:t>
      </w:r>
      <w:r>
        <w:rPr>
          <w:rFonts w:hint="eastAsia" w:ascii="仿宋" w:hAnsi="仿宋" w:eastAsia="仿宋"/>
          <w:kern w:val="0"/>
          <w:sz w:val="30"/>
          <w:szCs w:val="30"/>
          <w:lang w:val="en-US" w:eastAsia="zh-CN"/>
        </w:rPr>
        <w:t>”</w:t>
      </w:r>
      <w:r>
        <w:rPr>
          <w:rFonts w:hint="eastAsia" w:ascii="仿宋" w:hAnsi="仿宋" w:eastAsia="仿宋"/>
          <w:kern w:val="0"/>
          <w:sz w:val="30"/>
          <w:szCs w:val="30"/>
        </w:rPr>
        <w:t>项目绩效</w:t>
      </w:r>
      <w:r>
        <w:rPr>
          <w:rFonts w:hint="eastAsia" w:ascii="仿宋" w:hAnsi="仿宋" w:eastAsia="仿宋"/>
          <w:kern w:val="0"/>
          <w:sz w:val="30"/>
          <w:szCs w:val="30"/>
          <w:lang w:val="en-US" w:eastAsia="zh-CN"/>
        </w:rPr>
        <w:t>评价情况</w:t>
      </w:r>
      <w:r>
        <w:rPr>
          <w:rFonts w:hint="eastAsia" w:ascii="仿宋" w:hAnsi="仿宋" w:eastAsia="仿宋"/>
          <w:kern w:val="0"/>
          <w:sz w:val="30"/>
          <w:szCs w:val="30"/>
        </w:rPr>
        <w:t>。</w:t>
      </w:r>
    </w:p>
    <w:p>
      <w:pPr>
        <w:spacing w:line="600" w:lineRule="exact"/>
        <w:ind w:firstLine="600" w:firstLineChars="200"/>
        <w:outlineLvl w:val="0"/>
        <w:rPr>
          <w:rFonts w:hint="eastAsia" w:ascii="仿宋" w:hAnsi="仿宋" w:eastAsia="仿宋"/>
          <w:kern w:val="0"/>
          <w:sz w:val="30"/>
          <w:szCs w:val="30"/>
        </w:rPr>
      </w:pPr>
      <w:r>
        <w:rPr>
          <w:rFonts w:hint="eastAsia" w:ascii="仿宋" w:hAnsi="仿宋" w:eastAsia="仿宋"/>
          <w:kern w:val="0"/>
          <w:sz w:val="30"/>
          <w:szCs w:val="30"/>
        </w:rPr>
        <w:t>城镇独生子女父母奖励项目绩效自评综述：落实《江西省城镇居民独生子女父母奖励办法》文件精神。将城镇独生子女奖励作为重大民生工程抓好、抓实，奖励金全部发放到位。项目资金发挥一定效益，使独生子女父母感受到了社会的关爱，促进家庭社会和谐。对该项目绩效通过数据采集分析，财务核查、实地核查及深度访谈等方式，进行了客观、公正、合理、有效的评价，最终评价结果为 95分，依据财政绩效评价等级划分，本项目绩效评价等级为“优”。（详见附件</w:t>
      </w:r>
      <w:r>
        <w:rPr>
          <w:rFonts w:hint="eastAsia" w:ascii="仿宋" w:hAnsi="仿宋" w:eastAsia="仿宋"/>
          <w:kern w:val="0"/>
          <w:sz w:val="30"/>
          <w:szCs w:val="30"/>
          <w:lang w:val="en-US" w:eastAsia="zh-CN"/>
        </w:rPr>
        <w:t>4</w:t>
      </w:r>
      <w:r>
        <w:rPr>
          <w:rFonts w:hint="eastAsia" w:ascii="仿宋" w:hAnsi="仿宋" w:eastAsia="仿宋"/>
          <w:kern w:val="0"/>
          <w:sz w:val="30"/>
          <w:szCs w:val="30"/>
        </w:rPr>
        <w:t>：《城镇独生子女父母奖励项目支出绩效</w:t>
      </w:r>
      <w:r>
        <w:rPr>
          <w:rFonts w:hint="eastAsia" w:ascii="仿宋" w:hAnsi="仿宋" w:eastAsia="仿宋"/>
          <w:kern w:val="0"/>
          <w:sz w:val="30"/>
          <w:szCs w:val="30"/>
          <w:lang w:val="en-US" w:eastAsia="zh-CN"/>
        </w:rPr>
        <w:t>评价报告</w:t>
      </w:r>
      <w:r>
        <w:rPr>
          <w:rFonts w:hint="eastAsia" w:ascii="仿宋" w:hAnsi="仿宋" w:eastAsia="仿宋"/>
          <w:kern w:val="0"/>
          <w:sz w:val="30"/>
          <w:szCs w:val="30"/>
        </w:rPr>
        <w:t>》）</w:t>
      </w:r>
    </w:p>
    <w:p>
      <w:pPr>
        <w:ind w:left="139" w:leftChars="66" w:firstLine="450" w:firstLineChars="150"/>
        <w:jc w:val="left"/>
        <w:rPr>
          <w:rFonts w:ascii="仿宋" w:hAnsi="仿宋" w:eastAsia="仿宋"/>
          <w:kern w:val="0"/>
          <w:sz w:val="30"/>
          <w:szCs w:val="30"/>
        </w:rPr>
      </w:pPr>
      <w:r>
        <w:rPr>
          <w:rFonts w:hint="eastAsia" w:ascii="仿宋" w:hAnsi="仿宋" w:eastAsia="仿宋"/>
          <w:kern w:val="0"/>
          <w:sz w:val="30"/>
          <w:szCs w:val="30"/>
        </w:rPr>
        <w:t>艾滋病防治经费项目绩效自评综述：成立了西湖区艾滋病综合防治示范区办公室，设立单独的艾滋病性病防治科室。开展宣传教育、同时加强监测与检测，提高艾滋病自愿咨询检测覆盖面，查找发现更多的艾滋病感染者；加大对吸毒、暗娼及男男同性恋等高危人群的综合干预；加强艾滋病感染者\病人管理；贯彻落实国家“四免一关怀”政策；最大限度的遏制艾滋病在我区的传播和扩散，使我区的艾滋病综合防治工作取得更大的成效。</w:t>
      </w:r>
    </w:p>
    <w:p>
      <w:pPr>
        <w:ind w:left="139" w:leftChars="66" w:firstLine="450" w:firstLineChars="150"/>
        <w:jc w:val="left"/>
        <w:rPr>
          <w:rFonts w:hint="eastAsia" w:ascii="仿宋" w:hAnsi="仿宋" w:eastAsia="仿宋"/>
          <w:kern w:val="0"/>
          <w:sz w:val="30"/>
          <w:szCs w:val="30"/>
          <w:lang w:val="en-US" w:eastAsia="zh-CN"/>
        </w:rPr>
      </w:pPr>
      <w:r>
        <w:rPr>
          <w:rFonts w:hint="eastAsia" w:ascii="仿宋" w:hAnsi="仿宋" w:eastAsia="仿宋"/>
          <w:kern w:val="0"/>
          <w:sz w:val="30"/>
          <w:szCs w:val="30"/>
        </w:rPr>
        <w:t>对该项目绩效通过数据采集分析，财务核查、实地核查及深度访谈等方式，进行了客观、公正、合理、有效的评价，最终评价结果为95.33分，依据财政绩效评价等级划分，本项目绩效评价等级为“优”。</w:t>
      </w:r>
      <w:r>
        <w:rPr>
          <w:rFonts w:hint="eastAsia" w:ascii="仿宋" w:hAnsi="仿宋" w:eastAsia="仿宋"/>
          <w:kern w:val="0"/>
          <w:sz w:val="30"/>
          <w:szCs w:val="30"/>
          <w:lang w:val="en-US" w:eastAsia="zh-CN"/>
        </w:rPr>
        <w:t>（详见附件5：《艾滋病防治经费项目支出绩效评价报告》）</w:t>
      </w:r>
    </w:p>
    <w:p>
      <w:pPr>
        <w:rPr>
          <w:rFonts w:hint="eastAsia"/>
        </w:rPr>
      </w:pPr>
    </w:p>
    <w:p>
      <w:pPr>
        <w:widowControl/>
        <w:spacing w:line="600" w:lineRule="exact"/>
        <w:ind w:firstLine="640"/>
        <w:jc w:val="center"/>
        <w:rPr>
          <w:rFonts w:hint="eastAsia" w:ascii="宋体" w:hAnsi="宋体"/>
          <w:b/>
          <w:sz w:val="32"/>
          <w:szCs w:val="32"/>
        </w:rPr>
      </w:pPr>
      <w:r>
        <w:rPr>
          <w:rFonts w:hint="eastAsia" w:ascii="宋体" w:hAnsi="宋体"/>
          <w:b/>
          <w:sz w:val="32"/>
          <w:szCs w:val="32"/>
        </w:rPr>
        <w:t>第四部分  名词解释</w:t>
      </w:r>
    </w:p>
    <w:p>
      <w:pPr>
        <w:pStyle w:val="8"/>
        <w:spacing w:line="600" w:lineRule="atLeast"/>
        <w:ind w:firstLine="600"/>
        <w:rPr>
          <w:rFonts w:hint="eastAsia" w:ascii="仿宋" w:hAnsi="仿宋" w:eastAsia="仿宋"/>
          <w:sz w:val="30"/>
          <w:szCs w:val="30"/>
        </w:rPr>
      </w:pPr>
    </w:p>
    <w:p>
      <w:pPr>
        <w:pStyle w:val="10"/>
        <w:numPr>
          <w:ilvl w:val="0"/>
          <w:numId w:val="1"/>
        </w:numPr>
        <w:ind w:firstLineChars="0"/>
        <w:jc w:val="left"/>
        <w:rPr>
          <w:rFonts w:ascii="仿宋" w:hAnsi="仿宋" w:eastAsia="仿宋" w:cs="仿宋_GB2312"/>
          <w:kern w:val="0"/>
          <w:sz w:val="30"/>
          <w:szCs w:val="30"/>
        </w:rPr>
      </w:pPr>
      <w:r>
        <w:rPr>
          <w:rFonts w:hint="eastAsia" w:ascii="仿宋" w:hAnsi="仿宋" w:eastAsia="仿宋" w:cs="仿宋_GB2312"/>
          <w:kern w:val="0"/>
          <w:sz w:val="30"/>
          <w:szCs w:val="30"/>
        </w:rPr>
        <w:t>财政拨款：指区级财政当年拨付的资金。</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事业收入：指事业单位开展专业业务活动及辅助活动取得的收入。</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行政运行：反映行政单位的基本支出。</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一般行政管理事务：反映行政单位未单独设置项级科目的其他项目支出。</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机关服务：反映为行政单位提供后勤服务的各类后勤服务中心的支出。</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信息化建设：反映财政部门用于“金财工程”等信息化建设方面的支出。</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事业运行：反映事业单位的基本支出。</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购房补贴：反映按房改政策规定，行政事业单位向符合条件职工发放的用于购买住房的补贴。</w:t>
      </w:r>
    </w:p>
    <w:p>
      <w:pPr>
        <w:pStyle w:val="10"/>
        <w:numPr>
          <w:ilvl w:val="0"/>
          <w:numId w:val="1"/>
        </w:numPr>
        <w:ind w:firstLineChars="0"/>
        <w:rPr>
          <w:rFonts w:ascii="仿宋" w:hAnsi="仿宋" w:eastAsia="仿宋" w:cs="仿宋_GB2312"/>
          <w:kern w:val="0"/>
          <w:sz w:val="30"/>
          <w:szCs w:val="30"/>
        </w:rPr>
      </w:pPr>
      <w:r>
        <w:rPr>
          <w:rFonts w:hint="eastAsia" w:ascii="仿宋" w:hAnsi="仿宋" w:eastAsia="仿宋" w:cs="仿宋_GB2312"/>
          <w:kern w:val="0"/>
          <w:sz w:val="30"/>
          <w:szCs w:val="30"/>
        </w:rPr>
        <w:t>三公经费：反映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10"/>
        <w:numPr>
          <w:ilvl w:val="0"/>
          <w:numId w:val="1"/>
        </w:numPr>
        <w:ind w:firstLineChars="0"/>
        <w:jc w:val="left"/>
        <w:rPr>
          <w:rFonts w:ascii="仿宋" w:hAnsi="仿宋" w:eastAsia="仿宋" w:cs="仿宋_GB2312"/>
          <w:kern w:val="0"/>
          <w:sz w:val="30"/>
          <w:szCs w:val="30"/>
        </w:rPr>
      </w:pPr>
      <w:r>
        <w:rPr>
          <w:rFonts w:hint="eastAsia" w:ascii="仿宋" w:hAnsi="仿宋" w:eastAsia="仿宋" w:cs="仿宋_GB2312"/>
          <w:kern w:val="0"/>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及其他费用。</w:t>
      </w:r>
    </w:p>
    <w:p>
      <w:pPr>
        <w:pStyle w:val="10"/>
        <w:numPr>
          <w:ilvl w:val="0"/>
          <w:numId w:val="1"/>
        </w:numPr>
        <w:ind w:firstLineChars="0"/>
        <w:jc w:val="left"/>
        <w:rPr>
          <w:rFonts w:ascii="仿宋" w:hAnsi="仿宋" w:eastAsia="仿宋" w:cs="仿宋_GB2312"/>
          <w:kern w:val="0"/>
          <w:sz w:val="30"/>
          <w:szCs w:val="30"/>
        </w:rPr>
      </w:pPr>
      <w:r>
        <w:rPr>
          <w:rFonts w:hint="eastAsia" w:ascii="仿宋" w:hAnsi="仿宋" w:eastAsia="仿宋" w:cs="仿宋_GB2312"/>
          <w:kern w:val="0"/>
          <w:sz w:val="30"/>
          <w:szCs w:val="30"/>
        </w:rPr>
        <w:t xml:space="preserve"> 基本公共卫生服务：主要通过城市社区卫生服务中心（站）、乡镇卫生院、村卫生室等城乡基层医疗卫生机构免费为全体居民提供，其内容包括建立居民健康档案、健康教育、预防接种、儿童健康管理、孕产妇健康管理、老年人健康管理、慢性病（高血压、</w:t>
      </w:r>
      <w:r>
        <w:rPr>
          <w:rFonts w:ascii="仿宋" w:hAnsi="仿宋" w:eastAsia="仿宋" w:cs="仿宋_GB2312"/>
          <w:kern w:val="0"/>
          <w:sz w:val="30"/>
          <w:szCs w:val="30"/>
        </w:rPr>
        <w:t>2</w:t>
      </w:r>
      <w:r>
        <w:rPr>
          <w:rFonts w:hint="eastAsia" w:ascii="仿宋" w:hAnsi="仿宋" w:eastAsia="仿宋" w:cs="仿宋_GB2312"/>
          <w:kern w:val="0"/>
          <w:sz w:val="30"/>
          <w:szCs w:val="30"/>
        </w:rPr>
        <w:t>型糖尿病）患者健康管理、重性精神疾病患者健康管理、传染病及突发公共卫生事件报告和处理、中医药健康管理、卫生监督协管等</w:t>
      </w:r>
      <w:r>
        <w:rPr>
          <w:rFonts w:ascii="仿宋" w:hAnsi="仿宋" w:eastAsia="仿宋" w:cs="仿宋_GB2312"/>
          <w:kern w:val="0"/>
          <w:sz w:val="30"/>
          <w:szCs w:val="30"/>
        </w:rPr>
        <w:t>11</w:t>
      </w:r>
      <w:r>
        <w:rPr>
          <w:rFonts w:hint="eastAsia" w:ascii="仿宋" w:hAnsi="仿宋" w:eastAsia="仿宋" w:cs="仿宋_GB2312"/>
          <w:kern w:val="0"/>
          <w:sz w:val="30"/>
          <w:szCs w:val="30"/>
        </w:rPr>
        <w:t>个类别</w:t>
      </w:r>
      <w:r>
        <w:rPr>
          <w:rFonts w:ascii="仿宋" w:hAnsi="仿宋" w:eastAsia="仿宋" w:cs="仿宋_GB2312"/>
          <w:kern w:val="0"/>
          <w:sz w:val="30"/>
          <w:szCs w:val="30"/>
        </w:rPr>
        <w:t>43</w:t>
      </w:r>
      <w:r>
        <w:rPr>
          <w:rFonts w:hint="eastAsia" w:ascii="仿宋" w:hAnsi="仿宋" w:eastAsia="仿宋" w:cs="仿宋_GB2312"/>
          <w:kern w:val="0"/>
          <w:sz w:val="30"/>
          <w:szCs w:val="30"/>
        </w:rPr>
        <w:t>个项目的服务费用支出。2020新增做好常态化疫情防控工作。</w:t>
      </w:r>
    </w:p>
    <w:p>
      <w:pPr>
        <w:ind w:firstLine="600" w:firstLineChars="200"/>
        <w:jc w:val="both"/>
        <w:rPr>
          <w:rFonts w:hint="eastAsia" w:ascii="仿宋" w:hAnsi="仿宋" w:eastAsia="仿宋" w:cs="仿宋_GB2312"/>
          <w:kern w:val="0"/>
          <w:sz w:val="30"/>
          <w:szCs w:val="30"/>
          <w:highlight w:val="green"/>
        </w:rPr>
      </w:pPr>
      <w:r>
        <w:rPr>
          <w:rFonts w:hint="eastAsia" w:ascii="仿宋" w:hAnsi="仿宋" w:eastAsia="仿宋" w:cs="仿宋_GB2312"/>
          <w:kern w:val="0"/>
          <w:sz w:val="30"/>
          <w:szCs w:val="30"/>
        </w:rPr>
        <w:t>附</w:t>
      </w:r>
      <w:r>
        <w:rPr>
          <w:rFonts w:hint="eastAsia" w:ascii="仿宋" w:hAnsi="仿宋" w:eastAsia="仿宋"/>
          <w:kern w:val="0"/>
          <w:sz w:val="30"/>
          <w:szCs w:val="30"/>
          <w:highlight w:val="none"/>
        </w:rPr>
        <w:t>件</w:t>
      </w:r>
      <w:r>
        <w:rPr>
          <w:rFonts w:hint="eastAsia" w:ascii="仿宋" w:hAnsi="仿宋" w:eastAsia="仿宋" w:cs="仿宋_GB2312"/>
          <w:kern w:val="0"/>
          <w:sz w:val="30"/>
          <w:szCs w:val="30"/>
        </w:rPr>
        <w:t>1：《2021年度部门项目支出绩效自评总报告》</w:t>
      </w:r>
    </w:p>
    <w:p>
      <w:pPr>
        <w:ind w:firstLine="600" w:firstLineChars="200"/>
        <w:jc w:val="both"/>
        <w:rPr>
          <w:rFonts w:hint="eastAsia" w:ascii="仿宋_GB2312" w:hAnsi="仿宋_GB2312" w:eastAsia="仿宋_GB2312" w:cs="仿宋_GB2312"/>
          <w:color w:val="auto"/>
          <w:kern w:val="0"/>
          <w:sz w:val="30"/>
          <w:szCs w:val="30"/>
          <w:highlight w:val="none"/>
          <w:lang w:val="en-US" w:eastAsia="zh-CN"/>
        </w:rPr>
      </w:pPr>
      <w:r>
        <w:rPr>
          <w:rFonts w:hint="eastAsia" w:ascii="仿宋" w:hAnsi="仿宋" w:eastAsia="仿宋"/>
          <w:kern w:val="0"/>
          <w:sz w:val="30"/>
          <w:szCs w:val="30"/>
          <w:highlight w:val="none"/>
        </w:rPr>
        <w:t>附件</w:t>
      </w:r>
      <w:r>
        <w:rPr>
          <w:rFonts w:hint="eastAsia" w:ascii="仿宋" w:hAnsi="仿宋" w:eastAsia="仿宋" w:cs="仿宋_GB2312"/>
          <w:kern w:val="0"/>
          <w:sz w:val="30"/>
          <w:szCs w:val="30"/>
          <w:highlight w:val="none"/>
          <w:lang w:val="en-US" w:eastAsia="zh-CN"/>
        </w:rPr>
        <w:t>2</w:t>
      </w:r>
      <w:r>
        <w:rPr>
          <w:rFonts w:hint="eastAsia" w:ascii="仿宋" w:hAnsi="仿宋" w:eastAsia="仿宋" w:cs="仿宋_GB2312"/>
          <w:kern w:val="0"/>
          <w:sz w:val="30"/>
          <w:szCs w:val="30"/>
          <w:highlight w:val="none"/>
        </w:rPr>
        <w:t>：</w:t>
      </w:r>
      <w:r>
        <w:rPr>
          <w:rFonts w:hint="eastAsia" w:ascii="仿宋_GB2312" w:hAnsi="仿宋_GB2312" w:eastAsia="仿宋_GB2312" w:cs="仿宋_GB2312"/>
          <w:color w:val="auto"/>
          <w:kern w:val="0"/>
          <w:sz w:val="30"/>
          <w:szCs w:val="30"/>
          <w:highlight w:val="none"/>
          <w:lang w:val="en-US" w:eastAsia="zh-CN"/>
        </w:rPr>
        <w:t>《</w:t>
      </w:r>
      <w:r>
        <w:rPr>
          <w:rFonts w:hint="eastAsia" w:ascii="仿宋" w:hAnsi="仿宋" w:eastAsia="仿宋" w:cs="仿宋_GB2312"/>
          <w:kern w:val="0"/>
          <w:sz w:val="30"/>
          <w:szCs w:val="30"/>
          <w:highlight w:val="none"/>
        </w:rPr>
        <w:t>城镇独生子女父母奖励</w:t>
      </w:r>
      <w:r>
        <w:rPr>
          <w:rFonts w:hint="eastAsia" w:ascii="仿宋_GB2312" w:hAnsi="仿宋_GB2312" w:eastAsia="仿宋_GB2312" w:cs="仿宋_GB2312"/>
          <w:color w:val="auto"/>
          <w:kern w:val="0"/>
          <w:sz w:val="30"/>
          <w:szCs w:val="30"/>
          <w:highlight w:val="none"/>
          <w:lang w:val="en-US" w:eastAsia="zh-CN"/>
        </w:rPr>
        <w:t>项目支出绩效自评表》</w:t>
      </w:r>
    </w:p>
    <w:p>
      <w:pPr>
        <w:ind w:firstLine="600" w:firstLineChars="200"/>
        <w:jc w:val="both"/>
        <w:rPr>
          <w:rFonts w:hint="eastAsia" w:ascii="仿宋" w:hAnsi="仿宋" w:eastAsia="仿宋"/>
          <w:kern w:val="0"/>
          <w:sz w:val="30"/>
          <w:szCs w:val="30"/>
          <w:highlight w:val="none"/>
        </w:rPr>
      </w:pPr>
      <w:r>
        <w:rPr>
          <w:rFonts w:hint="eastAsia" w:ascii="仿宋" w:hAnsi="仿宋" w:eastAsia="仿宋"/>
          <w:kern w:val="0"/>
          <w:sz w:val="30"/>
          <w:szCs w:val="30"/>
          <w:highlight w:val="none"/>
        </w:rPr>
        <w:t>附件</w:t>
      </w:r>
      <w:r>
        <w:rPr>
          <w:rFonts w:hint="eastAsia" w:ascii="仿宋" w:hAnsi="仿宋" w:eastAsia="仿宋" w:cs="仿宋_GB2312"/>
          <w:kern w:val="0"/>
          <w:sz w:val="30"/>
          <w:szCs w:val="30"/>
          <w:highlight w:val="none"/>
          <w:lang w:val="en-US" w:eastAsia="zh-CN"/>
        </w:rPr>
        <w:t>3</w:t>
      </w:r>
      <w:r>
        <w:rPr>
          <w:rFonts w:hint="eastAsia" w:ascii="仿宋" w:hAnsi="仿宋" w:eastAsia="仿宋" w:cs="仿宋_GB2312"/>
          <w:kern w:val="0"/>
          <w:sz w:val="30"/>
          <w:szCs w:val="30"/>
          <w:highlight w:val="none"/>
        </w:rPr>
        <w:t>：《艾滋病防治经费项目支出绩效自评表》</w:t>
      </w:r>
    </w:p>
    <w:p>
      <w:pPr>
        <w:spacing w:line="600" w:lineRule="exact"/>
        <w:ind w:firstLine="600" w:firstLineChars="200"/>
        <w:jc w:val="both"/>
        <w:outlineLvl w:val="0"/>
        <w:rPr>
          <w:rFonts w:ascii="仿宋" w:hAnsi="仿宋" w:eastAsia="仿宋"/>
          <w:kern w:val="0"/>
          <w:sz w:val="30"/>
          <w:szCs w:val="30"/>
          <w:highlight w:val="none"/>
        </w:rPr>
      </w:pPr>
      <w:r>
        <w:rPr>
          <w:rFonts w:hint="eastAsia" w:ascii="仿宋" w:hAnsi="仿宋" w:eastAsia="仿宋"/>
          <w:kern w:val="0"/>
          <w:sz w:val="30"/>
          <w:szCs w:val="30"/>
          <w:highlight w:val="none"/>
        </w:rPr>
        <w:t>附件</w:t>
      </w:r>
      <w:r>
        <w:rPr>
          <w:rFonts w:hint="eastAsia" w:ascii="仿宋" w:hAnsi="仿宋" w:eastAsia="仿宋"/>
          <w:kern w:val="0"/>
          <w:sz w:val="30"/>
          <w:szCs w:val="30"/>
          <w:highlight w:val="none"/>
          <w:lang w:val="en-US" w:eastAsia="zh-CN"/>
        </w:rPr>
        <w:t>4</w:t>
      </w:r>
      <w:r>
        <w:rPr>
          <w:rFonts w:hint="eastAsia" w:ascii="仿宋" w:hAnsi="仿宋" w:eastAsia="仿宋"/>
          <w:kern w:val="0"/>
          <w:sz w:val="30"/>
          <w:szCs w:val="30"/>
          <w:highlight w:val="none"/>
        </w:rPr>
        <w:t>：</w:t>
      </w:r>
      <w:r>
        <w:rPr>
          <w:rFonts w:hint="eastAsia" w:ascii="仿宋" w:hAnsi="仿宋" w:eastAsia="仿宋" w:cs="仿宋_GB2312"/>
          <w:kern w:val="0"/>
          <w:sz w:val="30"/>
          <w:szCs w:val="30"/>
          <w:highlight w:val="none"/>
        </w:rPr>
        <w:t>《城镇独生子女父母奖励项目支出绩效</w:t>
      </w:r>
      <w:r>
        <w:rPr>
          <w:rFonts w:hint="eastAsia" w:ascii="仿宋_GB2312" w:hAnsi="仿宋_GB2312" w:eastAsia="仿宋_GB2312" w:cs="仿宋_GB2312"/>
          <w:kern w:val="0"/>
          <w:sz w:val="30"/>
          <w:szCs w:val="30"/>
          <w:highlight w:val="none"/>
          <w:lang w:val="en-US" w:eastAsia="zh-CN"/>
        </w:rPr>
        <w:t>评价报告</w:t>
      </w:r>
      <w:r>
        <w:rPr>
          <w:rFonts w:hint="eastAsia" w:ascii="仿宋" w:hAnsi="仿宋" w:eastAsia="仿宋" w:cs="仿宋_GB2312"/>
          <w:kern w:val="0"/>
          <w:sz w:val="30"/>
          <w:szCs w:val="30"/>
          <w:highlight w:val="none"/>
        </w:rPr>
        <w:t>》</w:t>
      </w:r>
    </w:p>
    <w:p>
      <w:pPr>
        <w:ind w:left="139" w:leftChars="66" w:firstLine="450" w:firstLineChars="150"/>
        <w:jc w:val="both"/>
        <w:rPr>
          <w:rFonts w:hint="eastAsia" w:ascii="仿宋" w:hAnsi="仿宋" w:eastAsia="仿宋" w:cs="仿宋_GB2312"/>
          <w:kern w:val="0"/>
          <w:sz w:val="30"/>
          <w:szCs w:val="30"/>
          <w:highlight w:val="none"/>
        </w:rPr>
      </w:pPr>
      <w:r>
        <w:rPr>
          <w:rFonts w:hint="eastAsia" w:ascii="仿宋" w:hAnsi="仿宋" w:eastAsia="仿宋" w:cs="仿宋_GB2312"/>
          <w:kern w:val="0"/>
          <w:sz w:val="30"/>
          <w:szCs w:val="30"/>
          <w:highlight w:val="none"/>
        </w:rPr>
        <w:t>附</w:t>
      </w:r>
      <w:r>
        <w:rPr>
          <w:rFonts w:hint="eastAsia" w:ascii="仿宋" w:hAnsi="仿宋" w:eastAsia="仿宋"/>
          <w:kern w:val="0"/>
          <w:sz w:val="30"/>
          <w:szCs w:val="30"/>
          <w:highlight w:val="none"/>
        </w:rPr>
        <w:t>件</w:t>
      </w:r>
      <w:r>
        <w:rPr>
          <w:rFonts w:hint="eastAsia" w:ascii="仿宋" w:hAnsi="仿宋" w:eastAsia="仿宋" w:cs="仿宋_GB2312"/>
          <w:kern w:val="0"/>
          <w:sz w:val="30"/>
          <w:szCs w:val="30"/>
          <w:highlight w:val="none"/>
          <w:lang w:val="en-US" w:eastAsia="zh-CN"/>
        </w:rPr>
        <w:t>5</w:t>
      </w:r>
      <w:r>
        <w:rPr>
          <w:rFonts w:hint="eastAsia" w:ascii="仿宋" w:hAnsi="仿宋" w:eastAsia="仿宋" w:cs="仿宋_GB2312"/>
          <w:kern w:val="0"/>
          <w:sz w:val="30"/>
          <w:szCs w:val="30"/>
          <w:highlight w:val="none"/>
        </w:rPr>
        <w:t>：《艾滋病防治经费项目支出绩效</w:t>
      </w:r>
      <w:r>
        <w:rPr>
          <w:rFonts w:hint="eastAsia" w:ascii="仿宋_GB2312" w:hAnsi="仿宋_GB2312" w:eastAsia="仿宋_GB2312" w:cs="仿宋_GB2312"/>
          <w:kern w:val="0"/>
          <w:sz w:val="30"/>
          <w:szCs w:val="30"/>
          <w:highlight w:val="none"/>
          <w:lang w:val="en-US" w:eastAsia="zh-CN"/>
        </w:rPr>
        <w:t>评价报告</w:t>
      </w:r>
      <w:r>
        <w:rPr>
          <w:rFonts w:hint="eastAsia" w:ascii="仿宋" w:hAnsi="仿宋" w:eastAsia="仿宋" w:cs="仿宋_GB2312"/>
          <w:kern w:val="0"/>
          <w:sz w:val="30"/>
          <w:szCs w:val="30"/>
          <w:highlight w:val="none"/>
        </w:rPr>
        <w:t>》</w:t>
      </w:r>
    </w:p>
    <w:p>
      <w:pPr>
        <w:ind w:left="139" w:leftChars="66" w:firstLine="450" w:firstLineChars="150"/>
        <w:jc w:val="both"/>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ind w:left="139" w:leftChars="66" w:firstLine="450" w:firstLineChars="150"/>
        <w:jc w:val="left"/>
        <w:rPr>
          <w:rFonts w:hint="eastAsia" w:ascii="仿宋" w:hAnsi="仿宋" w:eastAsia="仿宋" w:cs="仿宋_GB2312"/>
          <w:kern w:val="0"/>
          <w:sz w:val="30"/>
          <w:szCs w:val="30"/>
        </w:rPr>
      </w:pPr>
    </w:p>
    <w:p>
      <w:pPr>
        <w:rPr>
          <w:rFonts w:hint="eastAsia" w:ascii="黑体" w:hAnsi="黑体" w:eastAsia="黑体"/>
          <w:color w:val="000000"/>
          <w:sz w:val="32"/>
          <w:szCs w:val="32"/>
        </w:rPr>
      </w:pPr>
    </w:p>
    <w:p>
      <w:pPr>
        <w:rPr>
          <w:rFonts w:ascii="黑体" w:hAnsi="黑体" w:eastAsia="黑体"/>
          <w:color w:val="000000"/>
          <w:sz w:val="32"/>
          <w:szCs w:val="32"/>
        </w:rPr>
      </w:pPr>
      <w:r>
        <w:rPr>
          <w:rFonts w:hint="eastAsia" w:ascii="黑体" w:hAnsi="黑体" w:eastAsia="黑体"/>
          <w:color w:val="000000"/>
          <w:sz w:val="32"/>
          <w:szCs w:val="32"/>
        </w:rPr>
        <w:t>附件</w:t>
      </w:r>
      <w:r>
        <w:rPr>
          <w:rFonts w:hint="eastAsia" w:ascii="黑体" w:hAnsi="黑体" w:eastAsia="黑体"/>
          <w:color w:val="000000"/>
          <w:sz w:val="32"/>
          <w:szCs w:val="32"/>
          <w:lang w:val="en-US" w:eastAsia="zh-CN"/>
        </w:rPr>
        <w:t>1</w:t>
      </w:r>
      <w:r>
        <w:rPr>
          <w:rFonts w:hint="eastAsia" w:ascii="黑体" w:hAnsi="黑体" w:eastAsia="黑体"/>
          <w:color w:val="000000"/>
          <w:sz w:val="32"/>
          <w:szCs w:val="32"/>
        </w:rPr>
        <w:t>：</w:t>
      </w:r>
    </w:p>
    <w:p>
      <w:pPr>
        <w:rPr>
          <w:rFonts w:ascii="黑体" w:hAnsi="黑体" w:eastAsia="黑体"/>
          <w:color w:val="000000"/>
          <w:szCs w:val="21"/>
        </w:rPr>
      </w:pPr>
    </w:p>
    <w:p>
      <w:pPr>
        <w:jc w:val="center"/>
        <w:rPr>
          <w:rFonts w:ascii="方正小标宋简体" w:hAnsi="黑体" w:eastAsia="方正小标宋简体"/>
          <w:bCs/>
          <w:color w:val="000000"/>
          <w:sz w:val="44"/>
          <w:szCs w:val="44"/>
        </w:rPr>
      </w:pPr>
      <w:r>
        <w:rPr>
          <w:rFonts w:hint="eastAsia" w:ascii="方正小标宋简体" w:hAnsi="宋体" w:eastAsia="方正小标宋简体" w:cs="仿宋_GB2312"/>
          <w:bCs/>
          <w:color w:val="000000"/>
          <w:kern w:val="0"/>
          <w:sz w:val="44"/>
          <w:szCs w:val="44"/>
          <w:shd w:val="clear" w:color="auto" w:fill="FFFFFF"/>
          <w:lang w:val="en-US" w:eastAsia="zh-CN"/>
        </w:rPr>
        <w:t xml:space="preserve">   </w:t>
      </w:r>
      <w:r>
        <w:rPr>
          <w:rFonts w:hint="eastAsia" w:ascii="方正小标宋简体" w:hAnsi="宋体" w:eastAsia="方正小标宋简体" w:cs="仿宋_GB2312"/>
          <w:bCs/>
          <w:color w:val="000000"/>
          <w:kern w:val="0"/>
          <w:sz w:val="44"/>
          <w:szCs w:val="44"/>
          <w:shd w:val="clear" w:color="auto" w:fill="FFFFFF"/>
        </w:rPr>
        <w:t>2021年度</w:t>
      </w:r>
      <w:r>
        <w:rPr>
          <w:rFonts w:hint="eastAsia" w:ascii="方正小标宋简体" w:hAnsi="宋体" w:eastAsia="方正小标宋简体" w:cs="仿宋_GB2312"/>
          <w:bCs/>
          <w:color w:val="000000"/>
          <w:sz w:val="44"/>
          <w:szCs w:val="44"/>
        </w:rPr>
        <w:t>部门项目支出绩效自评总报告</w:t>
      </w:r>
    </w:p>
    <w:p>
      <w:pPr>
        <w:spacing w:line="600" w:lineRule="exact"/>
        <w:ind w:firstLine="640" w:firstLineChars="200"/>
        <w:rPr>
          <w:rFonts w:ascii="仿宋_GB2312" w:hAnsi="仿宋_GB2312" w:eastAsia="仿宋_GB2312" w:cs="仿宋_GB2312"/>
          <w:color w:val="000000"/>
          <w:sz w:val="32"/>
          <w:szCs w:val="32"/>
        </w:rPr>
      </w:pPr>
      <w:r>
        <w:rPr>
          <w:rFonts w:hint="eastAsia" w:ascii="黑体" w:hAnsi="宋体" w:eastAsia="黑体" w:cs="仿宋_GB2312"/>
          <w:color w:val="000000"/>
          <w:sz w:val="32"/>
          <w:szCs w:val="32"/>
        </w:rPr>
        <w:t>一、</w:t>
      </w:r>
      <w:r>
        <w:rPr>
          <w:rFonts w:hint="eastAsia" w:ascii="仿宋_GB2312" w:hAnsi="仿宋_GB2312" w:eastAsia="仿宋_GB2312" w:cs="仿宋_GB2312"/>
          <w:color w:val="000000"/>
          <w:sz w:val="32"/>
          <w:szCs w:val="32"/>
        </w:rPr>
        <w:t>本部门项目绩效目标管理情况</w:t>
      </w:r>
    </w:p>
    <w:p>
      <w:pPr>
        <w:pStyle w:val="9"/>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2021年，区卫生健康系统认真贯彻落实省、市、区决策部署，全力落实新时代卫生健康工作方针，统筹疫情防控和卫生健康事业发展，各项工作取得积极进展和明显成效。</w:t>
      </w:r>
    </w:p>
    <w:p>
      <w:pPr>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2021年年初预算项目经费7361.32万元，年中追加基本公共卫生服务项目119.88万元，城镇独生子女父母奖励308.5万元，全年预算项目经费7789.7万元。项目绩效管理做到项目设置的合理性和重要性原则，对项目目标进行细化管理；项目绩效目标设置遵从与部门（单位）职能的相关性、实行的可行性、设置科学性及合理性原则。部门预算严格按照人大批准的预算执行，预算调整按法定程序进行。项目资金根据项目执行及需求等情况向财政提交分月用款计划申请。在项目资金支出及拨付合规性方面，我委严格按照制定的专项资金管理办法等财务管理制度要求审核项目支出，专项资金中需要采购的，严格按照政府采购管理办法实行政府采购。支付方式统一使用国库预算一体化支付系统进行财政授权支付。各项目绩效目标设置及完成情况，详见附件2。</w:t>
      </w:r>
    </w:p>
    <w:p>
      <w:pPr>
        <w:spacing w:line="600" w:lineRule="exact"/>
        <w:ind w:firstLine="640" w:firstLineChars="200"/>
        <w:rPr>
          <w:rFonts w:ascii="仿宋_GB2312" w:hAnsi="仿宋_GB2312" w:eastAsia="仿宋_GB2312" w:cs="仿宋_GB2312"/>
          <w:color w:val="000000"/>
          <w:sz w:val="32"/>
          <w:szCs w:val="32"/>
        </w:rPr>
      </w:pPr>
      <w:r>
        <w:rPr>
          <w:rFonts w:hint="eastAsia" w:ascii="黑体" w:hAnsi="宋体" w:eastAsia="黑体" w:cs="仿宋_GB2312"/>
          <w:color w:val="000000"/>
          <w:sz w:val="32"/>
          <w:szCs w:val="32"/>
        </w:rPr>
        <w:t>二、</w:t>
      </w:r>
      <w:r>
        <w:rPr>
          <w:rFonts w:hint="eastAsia" w:ascii="仿宋_GB2312" w:hAnsi="仿宋_GB2312" w:eastAsia="仿宋_GB2312" w:cs="仿宋_GB2312"/>
          <w:color w:val="000000"/>
          <w:sz w:val="32"/>
          <w:szCs w:val="32"/>
        </w:rPr>
        <w:t>单位自评工作组织开展情况</w:t>
      </w:r>
    </w:p>
    <w:p>
      <w:pPr>
        <w:pStyle w:val="9"/>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为深入贯彻落实省市区各上级部门有关预算绩效管理的规定,根据《西湖区财政局关于开展2021年度单位自评及部门评价工作的通知》（西财字﹝2022﹞12号）文件的精神，增强部门预算绩效管理主体责任,提升部门履职效能,结合我区预算管理制度改革的需求，我委成立绩效评价工作小组。认真对2021年度部门项目支出进行了绩效评价工作。</w:t>
      </w:r>
    </w:p>
    <w:p>
      <w:pPr>
        <w:pStyle w:val="9"/>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采用座谈、相关业务科室自查自评、电话抽查受益群众等形式，收集查阅相关资料，进行考评。</w:t>
      </w:r>
    </w:p>
    <w:p>
      <w:pPr>
        <w:spacing w:line="600" w:lineRule="exact"/>
        <w:ind w:firstLine="640" w:firstLineChars="200"/>
        <w:rPr>
          <w:rFonts w:ascii="仿宋_GB2312" w:hAnsi="仿宋_GB2312" w:eastAsia="仿宋_GB2312" w:cs="仿宋_GB2312"/>
          <w:color w:val="000000"/>
          <w:sz w:val="32"/>
          <w:szCs w:val="32"/>
        </w:rPr>
      </w:pPr>
      <w:r>
        <w:rPr>
          <w:rFonts w:hint="eastAsia" w:ascii="黑体" w:hAnsi="宋体" w:eastAsia="黑体" w:cs="仿宋_GB2312"/>
          <w:color w:val="000000"/>
          <w:sz w:val="32"/>
          <w:szCs w:val="32"/>
        </w:rPr>
        <w:t>三、</w:t>
      </w:r>
      <w:r>
        <w:rPr>
          <w:rFonts w:hint="eastAsia" w:ascii="仿宋_GB2312" w:hAnsi="仿宋_GB2312" w:eastAsia="仿宋_GB2312" w:cs="仿宋_GB2312"/>
          <w:color w:val="000000"/>
          <w:sz w:val="32"/>
          <w:szCs w:val="32"/>
        </w:rPr>
        <w:t>综合评价结论</w:t>
      </w:r>
    </w:p>
    <w:p>
      <w:pPr>
        <w:pStyle w:val="9"/>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围绕绩效评价指标体系，通过数据采集分析，实地检查，电话抽查受益群众等方式，对各项目进行了客观、公开评价，最终评价等级为优。</w:t>
      </w:r>
    </w:p>
    <w:p>
      <w:pPr>
        <w:spacing w:line="600" w:lineRule="exact"/>
        <w:ind w:firstLine="640" w:firstLineChars="200"/>
        <w:rPr>
          <w:rFonts w:ascii="仿宋_GB2312" w:hAnsi="仿宋_GB2312" w:eastAsia="仿宋_GB2312" w:cs="仿宋_GB2312"/>
          <w:color w:val="000000"/>
          <w:sz w:val="32"/>
          <w:szCs w:val="32"/>
        </w:rPr>
      </w:pPr>
      <w:r>
        <w:rPr>
          <w:rFonts w:hint="eastAsia" w:ascii="黑体" w:hAnsi="宋体" w:eastAsia="黑体" w:cs="仿宋_GB2312"/>
          <w:color w:val="000000"/>
          <w:sz w:val="32"/>
          <w:szCs w:val="32"/>
        </w:rPr>
        <w:t>四、</w:t>
      </w:r>
      <w:r>
        <w:rPr>
          <w:rFonts w:hint="eastAsia" w:ascii="仿宋_GB2312" w:hAnsi="仿宋_GB2312" w:eastAsia="仿宋_GB2312" w:cs="仿宋_GB2312"/>
          <w:color w:val="000000"/>
          <w:sz w:val="32"/>
          <w:szCs w:val="32"/>
        </w:rPr>
        <w:t>绩效目标完成情况总体分析</w:t>
      </w:r>
    </w:p>
    <w:p>
      <w:pPr>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（一）全力以赴抗疫情，疫苗接种工作高效推进</w:t>
      </w:r>
    </w:p>
    <w:p>
      <w:pPr>
        <w:pStyle w:val="9"/>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区卫健委作为牵头单位，承担了全区疫情防控综合工作组（办公室）、医疗工作组、疫苗接种专班、核酸检测专班、流调工作专班等大量工作，全区卫健系统200余名干部职工和600余名医务人员一直满负荷运转，成为这场战役的排头兵和主力军，为我区抗击疫情取得阶段性胜利做出了积极贡献，截至2021年12月31日，我区已连续684天无新增本地确诊病例。积极应对今年国内多地本土聚集性疫情，从严从紧落实流调溯源、区域协查、闭环转运、集中隔离、健康监测、核酸检测、应急演练等一系列防疫措施。上饶疫情期间征用9个隔离酒店，最高峰时全区集中隔离人员达1300余人，有效阻断了疫情传播途径。特别是启动新冠疫苗接种工作后，我们广泛宣传、提前布局、密集布点。截至12月31日，西湖区累计接种新冠疫苗104.08万剂次，全程接种任务完成率位居全市第一，省疫情防控指挥部专门发文在全省转发我区疫苗接种工作经验。自10月16日起启动新冠疫苗加强免疫接种工作，累计接种第三针加强针75392人，接种完成率43.9 %；自10月29日起启动3-11岁人群新冠疫苗接种工作，累计接种51081人，接种完成率100.2%。</w:t>
      </w:r>
    </w:p>
    <w:p>
      <w:pPr>
        <w:numPr>
          <w:ilvl w:val="0"/>
          <w:numId w:val="2"/>
        </w:numPr>
        <w:pBdr>
          <w:bottom w:val="single" w:color="FFFFFF" w:sz="4" w:space="31"/>
        </w:pBdr>
        <w:tabs>
          <w:tab w:val="left" w:pos="1440"/>
        </w:tabs>
        <w:topLinePunct/>
        <w:autoSpaceDE w:val="0"/>
        <w:autoSpaceDN w:val="0"/>
        <w:adjustRightInd w:val="0"/>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齐心协力补短板，公共卫生体系逐步完善</w:t>
      </w:r>
    </w:p>
    <w:p>
      <w:pPr>
        <w:numPr>
          <w:ilvl w:val="0"/>
          <w:numId w:val="0"/>
        </w:num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区卫健委坚持以项目为抓手，补短板，强能力，基层卫生服务机构多个项目连续开工。西湖区卫生应急指挥中心（疾病预防控制中心）建设项目取得实质性进展，目前项目已立项，完成项目建议、可研性报告、立项赋码，市自然资源局已出具选址意见书，各项工作正在有序推进；基本完成桃花镇热敏灸小镇建设项目，建成2个热敏炙体验中心和3个热敏炙体验馆。全区各社区卫生服务中心均已建成中医馆，实现中医适宜技术推广全覆盖；完成西湖街道社区卫生服务中心医养结合改造和妇女儿童医疗服务能力建设项目，推进朝阳卫生院社区医院建设项目；截至202 1年11月，我区已有11家社区卫生服务中心通过全省“优质服务基层行”达标评审，通过率为92%。通过抓项目，基层医疗服务硬件条件和服务水平得到切实提升。进一步扩大了全区基本公共卫生均等化服务覆盖面，全区建立健康档案45.92万份，高血压规范管理2.80万人，糖尿病规范管理1.06万人，组建99个家庭医生团队，签约服务30.2万人，系马桩、十字街两家社区卫生服务中心列为基层医防融合市级示范点。依托“1+5+X”社区邻里中心建设，配套完善医疗服务点，完成31家邻里中心医疗服务点建设，建设33个健康小屋，打造15分钟健康便民服务圈。</w:t>
      </w:r>
    </w:p>
    <w:p>
      <w:pPr>
        <w:numPr>
          <w:ilvl w:val="0"/>
          <w:numId w:val="3"/>
        </w:numPr>
        <w:pBdr>
          <w:bottom w:val="single" w:color="FFFFFF" w:sz="4" w:space="31"/>
        </w:pBdr>
        <w:tabs>
          <w:tab w:val="left" w:pos="1440"/>
        </w:tabs>
        <w:topLinePunct/>
        <w:autoSpaceDE w:val="0"/>
        <w:autoSpaceDN w:val="0"/>
        <w:adjustRightInd w:val="0"/>
        <w:snapToGrid w:val="0"/>
        <w:spacing w:line="560" w:lineRule="exact"/>
        <w:ind w:firstLine="640" w:firstLineChars="200"/>
        <w:rPr>
          <w:rFonts w:hint="eastAsia" w:ascii="仿宋" w:hAnsi="仿宋" w:eastAsia="仿宋" w:cs="仿宋_GB2312"/>
          <w:b w:val="0"/>
          <w:bCs/>
          <w:kern w:val="0"/>
          <w:sz w:val="30"/>
          <w:szCs w:val="30"/>
          <w:lang w:val="en-US" w:eastAsia="zh-CN" w:bidi="ar-SA"/>
        </w:rPr>
      </w:pPr>
      <w:r>
        <w:rPr>
          <w:rFonts w:ascii="Times New Roman" w:hAnsi="Times New Roman" w:eastAsia="楷体"/>
          <w:b w:val="0"/>
          <w:bCs/>
          <w:sz w:val="32"/>
          <w:szCs w:val="32"/>
        </w:rPr>
        <w:t>“一老一小”同兼顾，重点人群民生福祉显著增强</w:t>
      </w:r>
    </w:p>
    <w:p>
      <w:pPr>
        <w:numPr>
          <w:ilvl w:val="0"/>
          <w:numId w:val="0"/>
        </w:numPr>
        <w:pBdr>
          <w:bottom w:val="single" w:color="FFFFFF" w:sz="4" w:space="31"/>
        </w:pBdr>
        <w:tabs>
          <w:tab w:val="left" w:pos="1440"/>
        </w:tabs>
        <w:topLinePunct/>
        <w:autoSpaceDE w:val="0"/>
        <w:autoSpaceDN w:val="0"/>
        <w:adjustRightInd w:val="0"/>
        <w:snapToGrid w:val="0"/>
        <w:spacing w:line="560" w:lineRule="exact"/>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积极应对人口老龄化严峻形势，与民政局共建共享，完成了西湖街道社区卫生服务中心医养结合改造工程和十字街社区卫生服务中心建设，实现卫生中心与居家养老融合发展；在朝阳卫生院引进民营资本创办“西湖区普亲朝农老年养护中心”，以其“嵌入式、专业化、智能化、标准化”等特点和优势，开启社区医养新模式，为社区失能失智老年人提供“医养融合”专业服务。省委书记易炼红深入朝农老年养护中心调研我区老龄工作时，对医养融合发展工作给予高度肯定；区属七医院老年医学分院和系马桩街道社区卫生服务中心被定为省级医养结合试点单位，两个安宁疗护试点单位广济医院和七医院安宁疗护工作也在有序推进中；完成七医院老年医学分院和系马桩街道社区卫生服务中心老年友善医疗机构建设和申报工作。在全区12个街道社区卫生服务中心实施36条为老服务便利举措，老年人就医服务及就医环境得到提升。作为省、市两级婴幼儿照护服务试点县区，西湖区有效开拓“公办公营、公助民营、民办民营、托幼一体、家庭指导”多元化立体办托路径，全省首家公办公营普惠托育服务中心——西湖区妇幼保健院托育中心今年9月正式开园，力争打造成为全省保教融合、科学育儿的标杆。目前，全区已完成备案托育机构2家，建设中托育机构5家，托幼一体化幼儿园25家，提供托位约850个，托育服务覆盖面延伸扩大。全省家庭发展暨婴幼儿照护服务工作现场会在南昌市召开，现场会观摩团参观西湖区妇幼保健院托育中心，我区试点工作在全省会议上作经验交流发言。托育服务供给侧改革工作更是得到《江西日报》、江西改革公众号等媒体大篇幅报道。</w:t>
      </w:r>
    </w:p>
    <w:p>
      <w:pPr>
        <w:pBdr>
          <w:bottom w:val="single" w:color="FFFFFF" w:sz="4" w:space="31"/>
        </w:pBdr>
        <w:tabs>
          <w:tab w:val="left" w:pos="1440"/>
        </w:tabs>
        <w:topLinePunct/>
        <w:autoSpaceDE w:val="0"/>
        <w:autoSpaceDN w:val="0"/>
        <w:adjustRightInd w:val="0"/>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（四）三孩政策广宣传，人口计生工作全面转型发展</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ascii="Times New Roman" w:hAnsi="Times New Roman" w:eastAsia="仿宋_GB2312"/>
          <w:sz w:val="32"/>
          <w:szCs w:val="32"/>
        </w:rPr>
      </w:pPr>
      <w:r>
        <w:rPr>
          <w:rFonts w:hint="eastAsia" w:ascii="仿宋" w:hAnsi="仿宋" w:eastAsia="仿宋" w:cs="仿宋_GB2312"/>
          <w:kern w:val="0"/>
          <w:sz w:val="30"/>
          <w:szCs w:val="30"/>
          <w:lang w:val="en-US" w:eastAsia="zh-CN" w:bidi="ar-SA"/>
        </w:rPr>
        <w:t>我区迅速贯彻落实国家三孩生育政策，取消计划生育“一票否决”、社会抚养费等事项，清理和废止相关处罚规定，将入户、入学、入职等与个人生育情况全面脱钩。同时充分利用微信群、显示屏、公众号等媒介，大力宣传三孩生育政策。积极落实三孩生育政策配套措施，全面完成南昌火车站、西湖万达广场、南昌市动物园、南昌市第二医院等19处公共场所标准化母婴室建设。积极维护计生家庭合法权益，保障政策调整有序衔接。进一步深化“放管</w:t>
      </w:r>
      <w:bookmarkStart w:id="0" w:name="_GoBack"/>
      <w:bookmarkEnd w:id="0"/>
      <w:r>
        <w:rPr>
          <w:rFonts w:hint="eastAsia" w:ascii="仿宋" w:hAnsi="仿宋" w:eastAsia="仿宋" w:cs="仿宋_GB2312"/>
          <w:kern w:val="0"/>
          <w:sz w:val="30"/>
          <w:szCs w:val="30"/>
          <w:lang w:val="en-US" w:eastAsia="zh-CN" w:bidi="ar-SA"/>
        </w:rPr>
        <w:t>服”改革，全面实行生育登记服务网上办理和免费婚检、孕检全程“一站式”服务，提高优生优育服务的可及性和覆盖面。截至2021年12月31日，全区共办理《生育服务卡》3137人，《生育证》49人，总办结率100%，群众满意率100%。作为中国计生协会“新市民健康行动项目”项目点（全省唯一），通过对“新市民”家庭基线调查，举办“志愿服务进商圈健康帮扶强技能”“把健康带回家”“大手牵小手”等主题宣传活动，建立健全新市民健康档案，促进“新市民”社会融合，提高“新市民”家庭健康发展能力。</w:t>
      </w:r>
    </w:p>
    <w:p>
      <w:pPr>
        <w:pBdr>
          <w:bottom w:val="single" w:color="FFFFFF" w:sz="4" w:space="31"/>
        </w:pBdr>
        <w:tabs>
          <w:tab w:val="left" w:pos="1440"/>
        </w:tabs>
        <w:topLinePunct/>
        <w:autoSpaceDE w:val="0"/>
        <w:autoSpaceDN w:val="0"/>
        <w:adjustRightInd w:val="0"/>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（五）特殊人群多关爱，计划生育利导政策落地见效</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落实计划生育特殊家庭扶助制度，为全区计划生育奖扶对象16人，特扶人员783人（其中失独人员481人），发放扶助资金总额667.872万元，其中区级配套约197.4万元。投入专项资金46.39万元，按人均580元的标准为特扶人员购买人身意外伤害和重大疾病综合保险，有效缓解特扶人员住院护理等实际困难。投入9.37万元，组织特扶家庭人员到南大二附院免费进行健康体检，做好病情跟踪、定期巡诊、优先转诊、康复指导等服务。持续开展计划生育特殊家庭重大节日走访慰问活动，端午节、中秋节对557户特扶家庭全部走访到位。深入推进计划生育特殊家庭联系人制度、家庭医生签约服务、就医绿色通道“三个全覆盖”，特扶人员家庭医生签约率达100%。作为全市唯一成功申报全国计生协“暖心家园”项目的县区，今年继续投入15万元，采取政府购买服务方式，与南昌县和合公益服务中心、广润门“温馨之家”等社会组织联合开展关爱失独老人服务项目。通过开展集体庆生日会、知识讲座、交流联谊等活动，组建暖心歌舞队和暖心家园非洲鼓队开展文体活动，组建暖心家园公益小组开展志愿服务等，累计服务1302人次，有效提升特扶老人的精神获得感，彰显西湖暖心家园项目特色亮点。2021年9月，省计生协对我区“暖心家园”项目进行评估督导，给予了高度肯定。</w:t>
      </w:r>
    </w:p>
    <w:p>
      <w:pPr>
        <w:pBdr>
          <w:bottom w:val="single" w:color="FFFFFF" w:sz="4" w:space="31"/>
        </w:pBdr>
        <w:tabs>
          <w:tab w:val="left" w:pos="1440"/>
        </w:tabs>
        <w:topLinePunct/>
        <w:autoSpaceDE w:val="0"/>
        <w:autoSpaceDN w:val="0"/>
        <w:adjustRightInd w:val="0"/>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（六）监测预警守关口，疾病预防控制工作提质增效</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持续加强重点传染病控制工作，结核病高危人群耐药筛查率达到95%，病原学阳性肺结核患者耐药筛查率达到85%，耐药肺结核纳入治疗率达到80%。全人群艾滋病抗体检测比例达到19%。开展城市癌症早诊早治、心血管疾病和糖尿病等慢性疾病防治等专项行动，做好肿瘤、死因监测、伤害等慢性病监测工作。积极开展无烟环境建设，选取辖区内6所高中或职业高中开展2021年江西省青少年烟草流行监测，共对832名高中或职业高中在校生进行烟草及酒精流行问卷调查。累计在全区21所小学开展口腔健康教育宣传，学校健康教育覆盖率100%，适龄儿童口腔健康检查3862人，实施窝沟封闭728人，共封闭牙齿数2415颗，完成率101%（2415/2400）。完成汛期血吸虫疫情防控，持续推进朝阳江滩公园钉螺处置工作。</w:t>
      </w:r>
    </w:p>
    <w:p>
      <w:pPr>
        <w:pBdr>
          <w:bottom w:val="single" w:color="FFFFFF" w:sz="4" w:space="31"/>
        </w:pBdr>
        <w:tabs>
          <w:tab w:val="left" w:pos="1440"/>
        </w:tabs>
        <w:topLinePunct/>
        <w:autoSpaceDE w:val="0"/>
        <w:autoSpaceDN w:val="0"/>
        <w:adjustRightInd w:val="0"/>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（七）生育全程优服务，妇幼健康服务能力有效提升</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我区妇幼健康服务能级持续提升，区妇幼保健院妇科门诊增设高龄孕产妇咨询门诊，为高龄孕产妇提供健康咨询和指导，开展生育力评估、备孕指导、妊娠风险提示等系列服务。积极发挥区妇保艾滋病母婴阻断工作示范点作用，开展预防艾滋病、梅毒和乙肝母婴传播项目检测6193人。加强免费婚检工作，截至2021年12月，全区免费婚检4076人，婚检率98.93%。推进出生缺陷综合防治，开展免费孕前优生健康检查3118人，完成率141.73%。实施增补叶酸预防神经管缺陷项目，增补服用叶酸3496人。为35-59岁育龄妇女开展乳腺癌、宫颈癌“两癌”筛查10249人。对全区90所幼儿园新入托幼儿开展入园体检6670人，自愿检测乙肝两对半3517人。开展全区幼儿园“六一”儿童健康体检15956人，体检率90.50%。开展儿童营养监测2627人，开展0-6岁儿童视力筛查23678人，发现视力不良1411人。</w:t>
      </w:r>
    </w:p>
    <w:p>
      <w:pPr>
        <w:pBdr>
          <w:bottom w:val="single" w:color="FFFFFF" w:sz="4" w:space="31"/>
        </w:pBdr>
        <w:tabs>
          <w:tab w:val="left" w:pos="1440"/>
        </w:tabs>
        <w:topLinePunct/>
        <w:autoSpaceDE w:val="0"/>
        <w:autoSpaceDN w:val="0"/>
        <w:adjustRightInd w:val="0"/>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（八）医疗机构强监管，医疗秩序医患关系得以改善</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严格规范医疗机构执业行为，全年办理医疗机构校验197家，其中暂缓校验1家，责令限期改正6家。及时妥善处理医疗投诉，全年共接到省市卫健部门、信访部门、12320热线、12345热线转办以及居民、患者等对辖区各级各类医疗机构医疗服务电话、信件、现场投诉362起。对投诉者的每一起投诉均及时进行调查分析，涉嫌违反卫生法律法规的一律交由区卫健执法局查处，做到了件件有答复，事事有回音。进一步加大监管执法力度，区卫健执法局对辖区内252户医疗卫生保健机构进行传染病防治监督检查300户次，对辖区公共场所经营单位约1260家（含30平方以下单位）全覆盖监督检查1490户次，累计查处案件179件，移送公安机关1件，处罚金额46.5万元。区卫健执法局获评全省优秀县级卫生监督执法机构第三名，并连续七年在全市卫生健康监督考核中荣获第一名。今年我区案件查办数量和处罚金额继续居全市各县区第一，1-3季度成为南昌市唯一进入全省查处案件数量前10的县级监督执法机构。</w:t>
      </w:r>
    </w:p>
    <w:p>
      <w:pPr>
        <w:pBdr>
          <w:bottom w:val="single" w:color="FFFFFF" w:sz="4" w:space="31"/>
        </w:pBdr>
        <w:tabs>
          <w:tab w:val="left" w:pos="1440"/>
        </w:tabs>
        <w:topLinePunct/>
        <w:autoSpaceDE w:val="0"/>
        <w:autoSpaceDN w:val="0"/>
        <w:adjustRightInd w:val="0"/>
        <w:snapToGrid w:val="0"/>
        <w:spacing w:line="560" w:lineRule="exact"/>
        <w:ind w:firstLine="640" w:firstLineChars="200"/>
        <w:rPr>
          <w:rFonts w:ascii="Times New Roman" w:hAnsi="Times New Roman" w:eastAsia="楷体"/>
          <w:b w:val="0"/>
          <w:bCs/>
          <w:sz w:val="32"/>
          <w:szCs w:val="32"/>
        </w:rPr>
      </w:pPr>
      <w:r>
        <w:rPr>
          <w:rFonts w:ascii="Times New Roman" w:hAnsi="Times New Roman" w:eastAsia="楷体"/>
          <w:b w:val="0"/>
          <w:bCs/>
          <w:sz w:val="32"/>
          <w:szCs w:val="32"/>
        </w:rPr>
        <w:t>（九）广泛宣传齐动员，爱国卫生运动蓬勃开展</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大力开展爱国卫生运动，积极开展除“四害”活动，清理卫生死角180处，清运垃圾32吨，封堵鼠洞2300余个，机关干部到挂点社区义务劳动2000余人次，清运垃圾35余吨，清洗路面20万平方米，清理沟塘148个，修缮市政设施612个，清除垃圾广告4300余处（次），清扫卫生死角3600多处。全面迎接2021全国卫生城市复审工作，坚持卫生城与文明城创建同步调度同步推进，实行“每天一梳理、每周一调度、每月一排名”，做到协同作战、合力攻坚。制作10余块大型户外公益广告牌，印制国家卫生城市相关宣传折页入户资料12套48万份，发放到各社区、学校、医疗机构和公共场所等，让辖区居民随时随刻了解健康知识。全区149个社区都设立巩固卫生城市和健康教育宣传栏，驻区单位、沿街商铺、银行网点等运用LED屏滚动播放巩固国家卫生城市宣传标语，掀起全民共保卫生城的新高潮。</w:t>
      </w:r>
    </w:p>
    <w:p>
      <w:pPr>
        <w:pBdr>
          <w:bottom w:val="single" w:color="FFFFFF" w:sz="4" w:space="31"/>
        </w:pBdr>
        <w:tabs>
          <w:tab w:val="left" w:pos="1440"/>
        </w:tabs>
        <w:topLinePunct/>
        <w:autoSpaceDE w:val="0"/>
        <w:autoSpaceDN w:val="0"/>
        <w:adjustRightInd w:val="0"/>
        <w:snapToGrid w:val="0"/>
        <w:spacing w:line="560" w:lineRule="exact"/>
        <w:ind w:firstLine="640" w:firstLineChars="200"/>
        <w:rPr>
          <w:rFonts w:hint="eastAsia" w:ascii="黑体" w:hAnsi="宋体" w:eastAsia="黑体" w:cs="仿宋_GB2312"/>
          <w:color w:val="000000"/>
          <w:sz w:val="32"/>
          <w:szCs w:val="32"/>
          <w:lang w:val="en-US" w:eastAsia="zh-CN"/>
        </w:rPr>
      </w:pPr>
      <w:r>
        <w:rPr>
          <w:rFonts w:hint="eastAsia" w:ascii="黑体" w:hAnsi="宋体" w:eastAsia="黑体" w:cs="仿宋_GB2312"/>
          <w:color w:val="000000"/>
          <w:sz w:val="32"/>
          <w:szCs w:val="32"/>
          <w:lang w:val="en-US" w:eastAsia="zh-CN"/>
        </w:rPr>
        <w:t>五、</w:t>
      </w:r>
      <w:r>
        <w:rPr>
          <w:rFonts w:hint="eastAsia" w:ascii="仿宋" w:hAnsi="仿宋" w:eastAsia="仿宋" w:cs="仿宋"/>
          <w:color w:val="000000"/>
          <w:sz w:val="32"/>
          <w:szCs w:val="32"/>
          <w:lang w:val="en-US" w:eastAsia="zh-CN"/>
        </w:rPr>
        <w:t>偏离绩效目标的原因和改进措施</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2021年基本公共卫生服务总体指标完成较好，均能完成评价指标，达到预期值。但机构缺乏公卫专业人才，人员流动性太强，对第三版规范不熟悉，工作中存在的不足之处如下：</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1、档案填写不规范。部分机构项目执行中个人信息 表、体检表、随访表等存在缺项、漏项以及逻辑错误问题；部分检查结果的化验单、B超书写不规范，或是随意涂改等。</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2、项目服务不规范。部分机构家庭医生签约工作的签 约履约率不达标；针对老年人、高血压、糖尿病的健康指 导、健康评价、危险因素控制缺乏有指导性的意见，面对面的随访做的不够，体检数太低。</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进一步加大对项目实施单位的培训和指导工作。稳定人员队伍。要求各医疗卫生单位针对工作中存在的问题，对标对表，倒排工期，全面开展问题整改专项行动， 确保各项问题整改完毕。</w:t>
      </w:r>
    </w:p>
    <w:p>
      <w:pPr>
        <w:pBdr>
          <w:bottom w:val="single" w:color="FFFFFF" w:sz="4" w:space="31"/>
        </w:pBdr>
        <w:tabs>
          <w:tab w:val="left" w:pos="1440"/>
        </w:tabs>
        <w:topLinePunct/>
        <w:autoSpaceDE w:val="0"/>
        <w:autoSpaceDN w:val="0"/>
        <w:adjustRightInd w:val="0"/>
        <w:snapToGrid w:val="0"/>
        <w:spacing w:line="560" w:lineRule="exact"/>
        <w:ind w:firstLine="602" w:firstLineChars="200"/>
        <w:rPr>
          <w:rFonts w:hint="eastAsia" w:ascii="仿宋" w:hAnsi="仿宋" w:eastAsia="仿宋" w:cs="仿宋_GB2312"/>
          <w:kern w:val="0"/>
          <w:sz w:val="30"/>
          <w:szCs w:val="30"/>
          <w:lang w:val="en-US" w:eastAsia="zh-CN" w:bidi="ar-SA"/>
        </w:rPr>
      </w:pPr>
      <w:r>
        <w:rPr>
          <w:rFonts w:hint="eastAsia" w:ascii="黑体" w:hAnsi="黑体" w:eastAsia="黑体" w:cs="黑体"/>
          <w:b/>
          <w:bCs/>
          <w:kern w:val="0"/>
          <w:sz w:val="30"/>
          <w:szCs w:val="30"/>
          <w:lang w:val="en-US" w:eastAsia="zh-CN" w:bidi="ar-SA"/>
        </w:rPr>
        <w:t>六、</w:t>
      </w:r>
      <w:r>
        <w:rPr>
          <w:rFonts w:hint="eastAsia" w:ascii="仿宋" w:hAnsi="仿宋" w:eastAsia="仿宋" w:cs="仿宋_GB2312"/>
          <w:kern w:val="0"/>
          <w:sz w:val="30"/>
          <w:szCs w:val="30"/>
          <w:lang w:val="en-US" w:eastAsia="zh-CN" w:bidi="ar-SA"/>
        </w:rPr>
        <w:t>绩效自评结果应用和公开情况。</w:t>
      </w:r>
    </w:p>
    <w:p>
      <w:pPr>
        <w:pBdr>
          <w:bottom w:val="single" w:color="FFFFFF" w:sz="4" w:space="31"/>
        </w:pBdr>
        <w:tabs>
          <w:tab w:val="left" w:pos="1440"/>
        </w:tabs>
        <w:topLinePunct/>
        <w:autoSpaceDE w:val="0"/>
        <w:autoSpaceDN w:val="0"/>
        <w:adjustRightInd w:val="0"/>
        <w:snapToGrid w:val="0"/>
        <w:spacing w:line="560" w:lineRule="exact"/>
        <w:ind w:firstLine="600" w:firstLineChars="200"/>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绩效评价结果是加强财政支出管理，增强资金绩效理念，合理配置公共资源，优化财政支出结构，提高资金使用效率的重要手段。此次评价结果可作为以后年度资金分配的重要依据，对评价优秀的项目加大资金支持，以期获得更好的公共效益。绩效评价按财政部门要求进行公开。</w:t>
      </w:r>
    </w:p>
    <w:p>
      <w:pPr>
        <w:pBdr>
          <w:bottom w:val="single" w:color="FFFFFF" w:sz="4" w:space="31"/>
        </w:pBdr>
        <w:tabs>
          <w:tab w:val="left" w:pos="1440"/>
        </w:tabs>
        <w:topLinePunct/>
        <w:autoSpaceDE w:val="0"/>
        <w:autoSpaceDN w:val="0"/>
        <w:adjustRightInd w:val="0"/>
        <w:snapToGrid w:val="0"/>
        <w:spacing w:line="560" w:lineRule="exact"/>
        <w:ind w:firstLine="600" w:firstLineChars="200"/>
        <w:jc w:val="right"/>
        <w:rPr>
          <w:rFonts w:hint="eastAsia" w:ascii="仿宋" w:hAnsi="仿宋" w:eastAsia="仿宋" w:cs="仿宋_GB2312"/>
          <w:kern w:val="0"/>
          <w:sz w:val="30"/>
          <w:szCs w:val="30"/>
          <w:lang w:val="en-US" w:eastAsia="zh-CN" w:bidi="ar-SA"/>
        </w:rPr>
      </w:pPr>
    </w:p>
    <w:p>
      <w:pPr>
        <w:pBdr>
          <w:bottom w:val="single" w:color="FFFFFF" w:sz="4" w:space="31"/>
        </w:pBdr>
        <w:tabs>
          <w:tab w:val="left" w:pos="1440"/>
        </w:tabs>
        <w:topLinePunct/>
        <w:autoSpaceDE w:val="0"/>
        <w:autoSpaceDN w:val="0"/>
        <w:adjustRightInd w:val="0"/>
        <w:snapToGrid w:val="0"/>
        <w:spacing w:line="560" w:lineRule="exact"/>
        <w:ind w:firstLine="600" w:firstLineChars="200"/>
        <w:jc w:val="right"/>
        <w:rPr>
          <w:rFonts w:hint="eastAsia" w:ascii="仿宋" w:hAnsi="仿宋" w:eastAsia="仿宋" w:cs="仿宋_GB2312"/>
          <w:kern w:val="0"/>
          <w:sz w:val="30"/>
          <w:szCs w:val="30"/>
          <w:lang w:val="en-US" w:eastAsia="zh-CN" w:bidi="ar-SA"/>
        </w:rPr>
      </w:pPr>
      <w:r>
        <w:rPr>
          <w:rFonts w:hint="eastAsia" w:ascii="仿宋" w:hAnsi="仿宋" w:eastAsia="仿宋" w:cs="仿宋_GB2312"/>
          <w:kern w:val="0"/>
          <w:sz w:val="30"/>
          <w:szCs w:val="30"/>
          <w:lang w:val="en-US" w:eastAsia="zh-CN" w:bidi="ar-SA"/>
        </w:rPr>
        <w:t>南昌市西湖区卫生健康委员会</w:t>
      </w:r>
    </w:p>
    <w:p>
      <w:pPr>
        <w:pBdr>
          <w:bottom w:val="single" w:color="FFFFFF" w:sz="4" w:space="31"/>
        </w:pBdr>
        <w:tabs>
          <w:tab w:val="left" w:pos="1440"/>
        </w:tabs>
        <w:topLinePunct/>
        <w:autoSpaceDE w:val="0"/>
        <w:autoSpaceDN w:val="0"/>
        <w:adjustRightInd w:val="0"/>
        <w:snapToGrid w:val="0"/>
        <w:spacing w:line="560" w:lineRule="exact"/>
        <w:ind w:firstLine="600" w:firstLineChars="200"/>
        <w:jc w:val="right"/>
        <w:rPr>
          <w:rFonts w:hint="eastAsia" w:ascii="仿宋_GB2312" w:eastAsia="仿宋_GB2312"/>
          <w:sz w:val="32"/>
          <w:szCs w:val="32"/>
        </w:rPr>
      </w:pPr>
      <w:r>
        <w:rPr>
          <w:rFonts w:hint="eastAsia" w:ascii="仿宋" w:hAnsi="仿宋" w:eastAsia="仿宋" w:cs="仿宋_GB2312"/>
          <w:kern w:val="0"/>
          <w:sz w:val="30"/>
          <w:szCs w:val="30"/>
          <w:lang w:val="en-US" w:eastAsia="zh-CN" w:bidi="ar-SA"/>
        </w:rPr>
        <w:t>2022年6月13日</w:t>
      </w:r>
    </w:p>
    <w:p>
      <w:pPr>
        <w:widowControl/>
        <w:snapToGrid w:val="0"/>
        <w:spacing w:line="600" w:lineRule="exact"/>
        <w:ind w:firstLine="640" w:firstLineChars="200"/>
        <w:jc w:val="right"/>
        <w:rPr>
          <w:rFonts w:hint="eastAsia" w:ascii="仿宋_GB2312" w:eastAsia="仿宋_GB2312"/>
          <w:sz w:val="32"/>
          <w:szCs w:val="32"/>
        </w:rPr>
      </w:pPr>
    </w:p>
    <w:p>
      <w:pPr>
        <w:widowControl/>
        <w:snapToGrid w:val="0"/>
        <w:spacing w:line="600" w:lineRule="exact"/>
        <w:ind w:firstLine="640" w:firstLineChars="200"/>
        <w:jc w:val="right"/>
        <w:rPr>
          <w:rFonts w:hint="eastAsia" w:ascii="仿宋_GB2312" w:eastAsia="仿宋_GB2312"/>
          <w:sz w:val="32"/>
          <w:szCs w:val="32"/>
        </w:rPr>
      </w:pPr>
    </w:p>
    <w:p>
      <w:r>
        <w:object>
          <v:shape id="_x0000_i1026" o:spt="75" type="#_x0000_t75" style="height:453.75pt;width:414.75pt;" o:ole="t" filled="f" o:preferrelative="t" stroked="f" coordsize="21600,21600">
            <v:path/>
            <v:fill on="f" focussize="0,0"/>
            <v:stroke on="f"/>
            <v:imagedata r:id="rId19" o:title=""/>
            <o:lock v:ext="edit" aspectratio="f"/>
            <w10:wrap type="none"/>
            <w10:anchorlock/>
          </v:shape>
          <o:OLEObject Type="Embed" ProgID="Excel.Sheet.8" ShapeID="_x0000_i1026" DrawAspect="Content" ObjectID="_1468075726" r:id="rId18">
            <o:LockedField>false</o:LockedField>
          </o:OLEObject>
        </w:object>
      </w: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center"/>
        <w:rPr>
          <w:rFonts w:ascii="方正小标宋简体" w:hAnsi="方正小标宋简体"/>
          <w:bCs/>
          <w:color w:val="000000"/>
          <w:kern w:val="0"/>
          <w:sz w:val="44"/>
          <w:szCs w:val="44"/>
        </w:rPr>
      </w:pPr>
    </w:p>
    <w:p>
      <w:pPr>
        <w:spacing w:line="500" w:lineRule="exact"/>
        <w:jc w:val="left"/>
        <w:rPr>
          <w:rFonts w:hint="default" w:ascii="方正小标宋简体" w:hAnsi="方正小标宋简体" w:eastAsia="宋体"/>
          <w:bCs/>
          <w:color w:val="000000"/>
          <w:kern w:val="0"/>
          <w:sz w:val="30"/>
          <w:szCs w:val="30"/>
          <w:lang w:val="en-US" w:eastAsia="zh-CN"/>
        </w:rPr>
      </w:pPr>
      <w:r>
        <w:rPr>
          <w:rFonts w:hint="eastAsia" w:ascii="方正小标宋简体" w:hAnsi="方正小标宋简体"/>
          <w:bCs/>
          <w:color w:val="000000"/>
          <w:kern w:val="0"/>
          <w:sz w:val="30"/>
          <w:szCs w:val="30"/>
          <w:lang w:val="en-US" w:eastAsia="zh-CN"/>
        </w:rPr>
        <w:t>附件3：</w:t>
      </w:r>
    </w:p>
    <w:p>
      <w:pPr>
        <w:spacing w:line="500" w:lineRule="exact"/>
        <w:jc w:val="center"/>
        <w:rPr>
          <w:rFonts w:ascii="方正小标宋简体" w:hAnsi="宋体"/>
          <w:bCs/>
          <w:color w:val="000000"/>
          <w:kern w:val="0"/>
          <w:sz w:val="44"/>
          <w:szCs w:val="44"/>
        </w:rPr>
      </w:pPr>
      <w:r>
        <w:rPr>
          <w:rFonts w:ascii="方正小标宋简体" w:hAnsi="方正小标宋简体"/>
          <w:bCs/>
          <w:color w:val="000000"/>
          <w:kern w:val="0"/>
          <w:sz w:val="44"/>
          <w:szCs w:val="44"/>
        </w:rPr>
        <w:t>项目支出绩效自评表</w:t>
      </w:r>
    </w:p>
    <w:p>
      <w:pPr>
        <w:spacing w:line="500" w:lineRule="exact"/>
        <w:jc w:val="center"/>
        <w:rPr>
          <w:rFonts w:ascii="方正小标宋简体" w:hAnsi="黑体"/>
          <w:color w:val="000000"/>
          <w:sz w:val="32"/>
          <w:szCs w:val="32"/>
        </w:rPr>
      </w:pPr>
      <w:r>
        <w:rPr>
          <w:rFonts w:hint="eastAsia" w:ascii="黑体" w:hAnsi="黑体" w:eastAsia="黑体"/>
          <w:color w:val="000000"/>
          <w:kern w:val="0"/>
        </w:rPr>
        <w:t>（</w:t>
      </w:r>
      <w:r>
        <w:rPr>
          <w:rFonts w:hint="eastAsia" w:ascii="黑体" w:hAnsi="宋体" w:eastAsia="黑体"/>
          <w:color w:val="000000"/>
          <w:kern w:val="0"/>
        </w:rPr>
        <w:t xml:space="preserve"> 202</w:t>
      </w:r>
      <w:r>
        <w:rPr>
          <w:rFonts w:hint="eastAsia" w:ascii="黑体" w:hAnsi="宋体" w:eastAsia="黑体"/>
          <w:color w:val="000000"/>
          <w:kern w:val="0"/>
          <w:lang w:val="en-US" w:eastAsia="zh-CN"/>
        </w:rPr>
        <w:t>1</w:t>
      </w:r>
      <w:r>
        <w:rPr>
          <w:rFonts w:hint="eastAsia" w:ascii="黑体" w:hAnsi="黑体" w:eastAsia="黑体"/>
          <w:color w:val="000000"/>
          <w:kern w:val="0"/>
        </w:rPr>
        <w:t>年度）</w:t>
      </w:r>
    </w:p>
    <w:tbl>
      <w:tblPr>
        <w:tblStyle w:val="6"/>
        <w:tblW w:w="9123" w:type="dxa"/>
        <w:jc w:val="center"/>
        <w:tblLayout w:type="fixed"/>
        <w:tblCellMar>
          <w:top w:w="0" w:type="dxa"/>
          <w:left w:w="108" w:type="dxa"/>
          <w:bottom w:w="0" w:type="dxa"/>
          <w:right w:w="108" w:type="dxa"/>
        </w:tblCellMar>
      </w:tblPr>
      <w:tblGrid>
        <w:gridCol w:w="586"/>
        <w:gridCol w:w="754"/>
        <w:gridCol w:w="1327"/>
        <w:gridCol w:w="726"/>
        <w:gridCol w:w="1265"/>
        <w:gridCol w:w="234"/>
        <w:gridCol w:w="1025"/>
        <w:gridCol w:w="90"/>
        <w:gridCol w:w="770"/>
        <w:gridCol w:w="246"/>
        <w:gridCol w:w="230"/>
        <w:gridCol w:w="386"/>
        <w:gridCol w:w="188"/>
        <w:gridCol w:w="596"/>
        <w:gridCol w:w="700"/>
      </w:tblGrid>
      <w:tr>
        <w:tblPrEx>
          <w:tblCellMar>
            <w:top w:w="0" w:type="dxa"/>
            <w:left w:w="108" w:type="dxa"/>
            <w:bottom w:w="0" w:type="dxa"/>
            <w:right w:w="108" w:type="dxa"/>
          </w:tblCellMar>
        </w:tblPrEx>
        <w:trPr>
          <w:trHeight w:val="302"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项目名称</w:t>
            </w:r>
          </w:p>
        </w:tc>
        <w:tc>
          <w:tcPr>
            <w:tcW w:w="7783" w:type="dxa"/>
            <w:gridSpan w:val="1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kern w:val="0"/>
              </w:rPr>
              <w:t>艾滋病防治经费</w:t>
            </w:r>
          </w:p>
        </w:tc>
      </w:tr>
      <w:tr>
        <w:tblPrEx>
          <w:tblCellMar>
            <w:top w:w="0" w:type="dxa"/>
            <w:left w:w="108" w:type="dxa"/>
            <w:bottom w:w="0" w:type="dxa"/>
            <w:right w:w="108" w:type="dxa"/>
          </w:tblCellMar>
        </w:tblPrEx>
        <w:trPr>
          <w:trHeight w:val="302" w:hRule="atLeast"/>
          <w:jc w:val="center"/>
        </w:trPr>
        <w:tc>
          <w:tcPr>
            <w:tcW w:w="1340"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主管部门</w:t>
            </w:r>
          </w:p>
        </w:tc>
        <w:tc>
          <w:tcPr>
            <w:tcW w:w="4577" w:type="dxa"/>
            <w:gridSpan w:val="5"/>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南昌市西湖区卫生健康委员会</w:t>
            </w:r>
          </w:p>
        </w:tc>
        <w:tc>
          <w:tcPr>
            <w:tcW w:w="1106" w:type="dxa"/>
            <w:gridSpan w:val="3"/>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实施单位</w:t>
            </w:r>
          </w:p>
        </w:tc>
        <w:tc>
          <w:tcPr>
            <w:tcW w:w="2100" w:type="dxa"/>
            <w:gridSpan w:val="5"/>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南昌市西湖区疾病预防控制中心</w:t>
            </w:r>
          </w:p>
        </w:tc>
      </w:tr>
      <w:tr>
        <w:tblPrEx>
          <w:tblCellMar>
            <w:top w:w="0" w:type="dxa"/>
            <w:left w:w="108" w:type="dxa"/>
            <w:bottom w:w="0" w:type="dxa"/>
            <w:right w:w="108" w:type="dxa"/>
          </w:tblCellMar>
        </w:tblPrEx>
        <w:trPr>
          <w:trHeight w:val="403" w:hRule="atLeast"/>
          <w:jc w:val="center"/>
        </w:trPr>
        <w:tc>
          <w:tcPr>
            <w:tcW w:w="1340" w:type="dxa"/>
            <w:gridSpan w:val="2"/>
            <w:vMerge w:val="restart"/>
            <w:tcBorders>
              <w:top w:val="nil"/>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项目资金</w:t>
            </w:r>
            <w:r>
              <w:rPr>
                <w:rFonts w:hint="eastAsia" w:ascii="黑体" w:hAnsi="宋体" w:eastAsia="黑体"/>
                <w:color w:val="000000"/>
                <w:kern w:val="0"/>
                <w:sz w:val="20"/>
                <w:szCs w:val="20"/>
              </w:rPr>
              <w:br w:type="textWrapping"/>
            </w:r>
            <w:r>
              <w:rPr>
                <w:rFonts w:hint="eastAsia" w:ascii="黑体" w:hAnsi="宋体" w:eastAsia="黑体"/>
                <w:color w:val="000000"/>
                <w:kern w:val="0"/>
                <w:sz w:val="20"/>
                <w:szCs w:val="20"/>
              </w:rPr>
              <w:t>（万元）</w:t>
            </w:r>
          </w:p>
        </w:tc>
        <w:tc>
          <w:tcPr>
            <w:tcW w:w="2053"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c>
          <w:tcPr>
            <w:tcW w:w="1265" w:type="dxa"/>
            <w:tcBorders>
              <w:top w:val="nil"/>
              <w:left w:val="nil"/>
              <w:bottom w:val="single" w:color="auto" w:sz="4" w:space="0"/>
              <w:right w:val="single" w:color="auto" w:sz="4" w:space="0"/>
            </w:tcBorders>
            <w:vAlign w:val="center"/>
          </w:tcPr>
          <w:p>
            <w:pPr>
              <w:widowControl/>
              <w:spacing w:line="240" w:lineRule="exact"/>
              <w:ind w:left="-63" w:leftChars="-30" w:right="-63" w:rightChars="-30"/>
              <w:rPr>
                <w:rFonts w:ascii="黑体" w:hAnsi="宋体" w:eastAsia="黑体"/>
                <w:color w:val="000000"/>
                <w:kern w:val="0"/>
                <w:sz w:val="20"/>
                <w:szCs w:val="20"/>
              </w:rPr>
            </w:pPr>
            <w:r>
              <w:rPr>
                <w:rFonts w:hint="eastAsia" w:ascii="黑体" w:hAnsi="宋体" w:eastAsia="黑体"/>
                <w:color w:val="000000"/>
                <w:kern w:val="0"/>
                <w:sz w:val="20"/>
                <w:szCs w:val="20"/>
              </w:rPr>
              <w:t>年初预算数</w:t>
            </w:r>
          </w:p>
        </w:tc>
        <w:tc>
          <w:tcPr>
            <w:tcW w:w="1259"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全年预算数</w:t>
            </w:r>
          </w:p>
        </w:tc>
        <w:tc>
          <w:tcPr>
            <w:tcW w:w="1106" w:type="dxa"/>
            <w:gridSpan w:val="3"/>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全年执行数</w:t>
            </w:r>
          </w:p>
        </w:tc>
        <w:tc>
          <w:tcPr>
            <w:tcW w:w="61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分值</w:t>
            </w:r>
          </w:p>
        </w:tc>
        <w:tc>
          <w:tcPr>
            <w:tcW w:w="784"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执行率</w:t>
            </w:r>
          </w:p>
        </w:tc>
        <w:tc>
          <w:tcPr>
            <w:tcW w:w="70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得分</w:t>
            </w:r>
          </w:p>
        </w:tc>
      </w:tr>
      <w:tr>
        <w:tblPrEx>
          <w:tblCellMar>
            <w:top w:w="0" w:type="dxa"/>
            <w:left w:w="108" w:type="dxa"/>
            <w:bottom w:w="0" w:type="dxa"/>
            <w:right w:w="108" w:type="dxa"/>
          </w:tblCellMar>
        </w:tblPrEx>
        <w:trPr>
          <w:trHeight w:val="302" w:hRule="atLeast"/>
          <w:jc w:val="center"/>
        </w:trPr>
        <w:tc>
          <w:tcPr>
            <w:tcW w:w="13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rPr>
                <w:rFonts w:ascii="黑体" w:hAnsi="宋体" w:eastAsia="黑体"/>
                <w:color w:val="000000"/>
                <w:kern w:val="0"/>
                <w:sz w:val="20"/>
                <w:szCs w:val="20"/>
              </w:rPr>
            </w:pPr>
            <w:r>
              <w:rPr>
                <w:rFonts w:hint="eastAsia" w:ascii="黑体" w:hAnsi="宋体" w:eastAsia="黑体"/>
                <w:color w:val="000000"/>
                <w:kern w:val="0"/>
                <w:sz w:val="20"/>
                <w:szCs w:val="20"/>
              </w:rPr>
              <w:t>年度资金总额</w:t>
            </w:r>
          </w:p>
        </w:tc>
        <w:tc>
          <w:tcPr>
            <w:tcW w:w="1265"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71.98</w:t>
            </w:r>
          </w:p>
        </w:tc>
        <w:tc>
          <w:tcPr>
            <w:tcW w:w="1259"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71.98</w:t>
            </w:r>
          </w:p>
        </w:tc>
        <w:tc>
          <w:tcPr>
            <w:tcW w:w="1106" w:type="dxa"/>
            <w:gridSpan w:val="3"/>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41.88</w:t>
            </w:r>
          </w:p>
        </w:tc>
        <w:tc>
          <w:tcPr>
            <w:tcW w:w="61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10</w:t>
            </w:r>
          </w:p>
        </w:tc>
        <w:tc>
          <w:tcPr>
            <w:tcW w:w="784"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lang w:val="en-US" w:eastAsia="zh-CN"/>
              </w:rPr>
              <w:t>58.32</w:t>
            </w:r>
            <w:r>
              <w:rPr>
                <w:rFonts w:hint="eastAsia" w:ascii="黑体" w:hAnsi="宋体" w:eastAsia="黑体"/>
                <w:color w:val="000000"/>
                <w:kern w:val="0"/>
                <w:sz w:val="20"/>
                <w:szCs w:val="20"/>
              </w:rPr>
              <w:t>%</w:t>
            </w:r>
          </w:p>
        </w:tc>
        <w:tc>
          <w:tcPr>
            <w:tcW w:w="70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5.83</w:t>
            </w:r>
          </w:p>
        </w:tc>
      </w:tr>
      <w:tr>
        <w:tblPrEx>
          <w:tblCellMar>
            <w:top w:w="0" w:type="dxa"/>
            <w:left w:w="108" w:type="dxa"/>
            <w:bottom w:w="0" w:type="dxa"/>
            <w:right w:w="108" w:type="dxa"/>
          </w:tblCellMar>
        </w:tblPrEx>
        <w:trPr>
          <w:trHeight w:val="291" w:hRule="atLeast"/>
          <w:jc w:val="center"/>
        </w:trPr>
        <w:tc>
          <w:tcPr>
            <w:tcW w:w="13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其中：当年财政拨款</w:t>
            </w:r>
          </w:p>
        </w:tc>
        <w:tc>
          <w:tcPr>
            <w:tcW w:w="1265"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kern w:val="0"/>
                <w:lang w:val="en-US" w:eastAsia="zh-CN"/>
              </w:rPr>
              <w:t>24</w:t>
            </w:r>
          </w:p>
        </w:tc>
        <w:tc>
          <w:tcPr>
            <w:tcW w:w="1259"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kern w:val="0"/>
                <w:lang w:val="en-US" w:eastAsia="zh-CN"/>
              </w:rPr>
              <w:t>24</w:t>
            </w:r>
          </w:p>
        </w:tc>
        <w:tc>
          <w:tcPr>
            <w:tcW w:w="1106" w:type="dxa"/>
            <w:gridSpan w:val="3"/>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0</w:t>
            </w:r>
          </w:p>
        </w:tc>
        <w:tc>
          <w:tcPr>
            <w:tcW w:w="61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w:t>
            </w:r>
          </w:p>
        </w:tc>
        <w:tc>
          <w:tcPr>
            <w:tcW w:w="784"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0%</w:t>
            </w:r>
          </w:p>
        </w:tc>
        <w:tc>
          <w:tcPr>
            <w:tcW w:w="70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w:t>
            </w:r>
          </w:p>
        </w:tc>
      </w:tr>
      <w:tr>
        <w:tblPrEx>
          <w:tblCellMar>
            <w:top w:w="0" w:type="dxa"/>
            <w:left w:w="108" w:type="dxa"/>
            <w:bottom w:w="0" w:type="dxa"/>
            <w:right w:w="108" w:type="dxa"/>
          </w:tblCellMar>
        </w:tblPrEx>
        <w:trPr>
          <w:trHeight w:val="277" w:hRule="atLeast"/>
          <w:jc w:val="center"/>
        </w:trPr>
        <w:tc>
          <w:tcPr>
            <w:tcW w:w="13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 xml:space="preserve">      上年结转资金</w:t>
            </w:r>
          </w:p>
        </w:tc>
        <w:tc>
          <w:tcPr>
            <w:tcW w:w="1265"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47.98</w:t>
            </w:r>
          </w:p>
        </w:tc>
        <w:tc>
          <w:tcPr>
            <w:tcW w:w="1259"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47.98</w:t>
            </w:r>
          </w:p>
        </w:tc>
        <w:tc>
          <w:tcPr>
            <w:tcW w:w="1106" w:type="dxa"/>
            <w:gridSpan w:val="3"/>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41.88</w:t>
            </w:r>
          </w:p>
        </w:tc>
        <w:tc>
          <w:tcPr>
            <w:tcW w:w="61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w:t>
            </w:r>
          </w:p>
        </w:tc>
        <w:tc>
          <w:tcPr>
            <w:tcW w:w="784"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lang w:val="en-US" w:eastAsia="zh-CN"/>
              </w:rPr>
              <w:t>87.28</w:t>
            </w:r>
            <w:r>
              <w:rPr>
                <w:rFonts w:hint="eastAsia" w:ascii="黑体" w:hAnsi="宋体" w:eastAsia="黑体"/>
                <w:color w:val="000000"/>
                <w:kern w:val="0"/>
                <w:sz w:val="20"/>
                <w:szCs w:val="20"/>
              </w:rPr>
              <w:t>%</w:t>
            </w:r>
          </w:p>
        </w:tc>
        <w:tc>
          <w:tcPr>
            <w:tcW w:w="70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w:t>
            </w:r>
          </w:p>
        </w:tc>
      </w:tr>
      <w:tr>
        <w:tblPrEx>
          <w:tblCellMar>
            <w:top w:w="0" w:type="dxa"/>
            <w:left w:w="108" w:type="dxa"/>
            <w:bottom w:w="0" w:type="dxa"/>
            <w:right w:w="108" w:type="dxa"/>
          </w:tblCellMar>
        </w:tblPrEx>
        <w:trPr>
          <w:trHeight w:val="302" w:hRule="atLeast"/>
          <w:jc w:val="center"/>
        </w:trPr>
        <w:tc>
          <w:tcPr>
            <w:tcW w:w="1340"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053"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 xml:space="preserve">  其他资金</w:t>
            </w:r>
          </w:p>
        </w:tc>
        <w:tc>
          <w:tcPr>
            <w:tcW w:w="1265"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c>
          <w:tcPr>
            <w:tcW w:w="1259"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c>
          <w:tcPr>
            <w:tcW w:w="1106" w:type="dxa"/>
            <w:gridSpan w:val="3"/>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c>
          <w:tcPr>
            <w:tcW w:w="61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w:t>
            </w:r>
          </w:p>
        </w:tc>
        <w:tc>
          <w:tcPr>
            <w:tcW w:w="784"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c>
          <w:tcPr>
            <w:tcW w:w="70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w:t>
            </w:r>
          </w:p>
        </w:tc>
      </w:tr>
      <w:tr>
        <w:tblPrEx>
          <w:tblCellMar>
            <w:top w:w="0" w:type="dxa"/>
            <w:left w:w="108" w:type="dxa"/>
            <w:bottom w:w="0" w:type="dxa"/>
            <w:right w:w="108" w:type="dxa"/>
          </w:tblCellMar>
        </w:tblPrEx>
        <w:trPr>
          <w:trHeight w:val="327" w:hRule="atLeast"/>
          <w:jc w:val="center"/>
        </w:trPr>
        <w:tc>
          <w:tcPr>
            <w:tcW w:w="586" w:type="dxa"/>
            <w:vMerge w:val="restart"/>
            <w:tcBorders>
              <w:top w:val="nil"/>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年度总体目标</w:t>
            </w:r>
          </w:p>
        </w:tc>
        <w:tc>
          <w:tcPr>
            <w:tcW w:w="5331" w:type="dxa"/>
            <w:gridSpan w:val="6"/>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预期目标</w:t>
            </w:r>
          </w:p>
        </w:tc>
        <w:tc>
          <w:tcPr>
            <w:tcW w:w="3206" w:type="dxa"/>
            <w:gridSpan w:val="8"/>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实际完成情况</w:t>
            </w:r>
          </w:p>
        </w:tc>
      </w:tr>
      <w:tr>
        <w:tblPrEx>
          <w:tblCellMar>
            <w:top w:w="0" w:type="dxa"/>
            <w:left w:w="108" w:type="dxa"/>
            <w:bottom w:w="0" w:type="dxa"/>
            <w:right w:w="108" w:type="dxa"/>
          </w:tblCellMar>
        </w:tblPrEx>
        <w:trPr>
          <w:trHeight w:val="3395" w:hRule="atLeast"/>
          <w:jc w:val="center"/>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5331" w:type="dxa"/>
            <w:gridSpan w:val="6"/>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b w:val="0"/>
                <w:bCs w:val="0"/>
                <w:color w:val="000000"/>
                <w:kern w:val="0"/>
                <w:sz w:val="20"/>
                <w:szCs w:val="20"/>
              </w:rPr>
            </w:pPr>
            <w:r>
              <w:rPr>
                <w:rFonts w:hint="eastAsia" w:ascii="宋体" w:hAnsi="宋体"/>
                <w:b w:val="0"/>
                <w:bCs w:val="0"/>
                <w:kern w:val="0"/>
                <w:sz w:val="24"/>
              </w:rPr>
              <w:t>1</w:t>
            </w:r>
            <w:r>
              <w:rPr>
                <w:rFonts w:hint="eastAsia" w:ascii="黑体" w:hAnsi="黑体" w:eastAsia="黑体" w:cs="宋体"/>
                <w:b w:val="0"/>
                <w:bCs w:val="0"/>
                <w:color w:val="000000"/>
                <w:kern w:val="0"/>
                <w:szCs w:val="21"/>
              </w:rPr>
              <w:t>为贯彻党中央、国务院决策部署，推进联合国2030年终结艾滋病流行可持续发展目标的实现，落实《“健康中国2030”规划纲要》、《国务院关于实施健康中国行动的意见》（国发〔2019〕13号）、《健康中国行动（2019—2030年）》和《中国遏制与防治艾滋病“十三五”行动计划》（国办发〔2017〕8号）有关要求，解决当前艾滋病防治工作中的重点和难点问题，2021年西湖区第四轮全国艾滋病综合防治示范区项目将开展1、预防艾滋病宣传教育领域2、艾滋病综合干预领域3、艾滋病扩大检测和治疗领域4、预防艾滋病社会综合治理领域5、预防艾滋病母婴传播领域6、学校预防艾滋病教育领域这六大领域的艾滋病防治工作，最大限度的遏制艾滋病在我区的传播和扩散，遏制艾滋病性传播上升势头，将疫情持续控制在低流行水平。</w:t>
            </w:r>
          </w:p>
          <w:p>
            <w:pPr>
              <w:widowControl/>
              <w:spacing w:line="240" w:lineRule="exact"/>
              <w:ind w:left="-63" w:leftChars="-30" w:right="-63" w:rightChars="-30"/>
              <w:jc w:val="left"/>
              <w:rPr>
                <w:rFonts w:ascii="黑体" w:hAnsi="宋体" w:eastAsia="黑体"/>
                <w:b w:val="0"/>
                <w:bCs w:val="0"/>
                <w:color w:val="000000"/>
                <w:kern w:val="0"/>
                <w:sz w:val="20"/>
                <w:szCs w:val="20"/>
              </w:rPr>
            </w:pPr>
          </w:p>
        </w:tc>
        <w:tc>
          <w:tcPr>
            <w:tcW w:w="3206" w:type="dxa"/>
            <w:gridSpan w:val="8"/>
            <w:tcBorders>
              <w:top w:val="single" w:color="auto" w:sz="4" w:space="0"/>
              <w:left w:val="nil"/>
              <w:bottom w:val="single" w:color="auto" w:sz="4" w:space="0"/>
              <w:right w:val="single" w:color="auto" w:sz="4" w:space="0"/>
            </w:tcBorders>
            <w:shd w:val="clear" w:color="auto" w:fill="auto"/>
            <w:vAlign w:val="top"/>
          </w:tcPr>
          <w:p>
            <w:pPr>
              <w:widowControl/>
              <w:spacing w:line="240" w:lineRule="exact"/>
              <w:ind w:left="-63" w:leftChars="-30" w:right="-63" w:rightChars="-30"/>
              <w:jc w:val="left"/>
              <w:rPr>
                <w:rFonts w:ascii="黑体" w:hAnsi="宋体" w:eastAsia="黑体"/>
                <w:b w:val="0"/>
                <w:bCs w:val="0"/>
                <w:color w:val="000000"/>
                <w:kern w:val="0"/>
                <w:sz w:val="20"/>
                <w:szCs w:val="20"/>
              </w:rPr>
            </w:pPr>
            <w:r>
              <w:rPr>
                <w:rFonts w:hint="eastAsia" w:ascii="黑体" w:hAnsi="黑体" w:eastAsia="黑体" w:cs="宋体"/>
                <w:b w:val="0"/>
                <w:bCs w:val="0"/>
                <w:color w:val="000000"/>
                <w:kern w:val="0"/>
                <w:szCs w:val="21"/>
                <w:lang w:eastAsia="zh-CN"/>
              </w:rPr>
              <w:t>已经</w:t>
            </w:r>
            <w:r>
              <w:rPr>
                <w:rFonts w:hint="eastAsia" w:ascii="黑体" w:hAnsi="黑体" w:eastAsia="黑体" w:cs="宋体"/>
                <w:b w:val="0"/>
                <w:bCs w:val="0"/>
                <w:color w:val="000000"/>
                <w:kern w:val="0"/>
                <w:szCs w:val="21"/>
              </w:rPr>
              <w:t>开展1、预防艾滋病宣传教育领域2、艾滋病综合干预领域3、艾滋病扩大检测和治疗领域4、预防艾滋病社会综合治理领域5、预防艾滋病母婴传播领域6、学校预防艾滋病教育领域这六大领域的艾滋病防治工作，最大限度的遏制艾滋病在我区的传播和扩散，遏制艾滋病性传播上升势头，将疫情持续控制在低流行水平。</w:t>
            </w:r>
          </w:p>
          <w:p>
            <w:pPr>
              <w:widowControl/>
              <w:spacing w:line="240" w:lineRule="exact"/>
              <w:ind w:left="-63" w:leftChars="-30" w:right="-63" w:rightChars="-30"/>
              <w:jc w:val="left"/>
              <w:rPr>
                <w:rFonts w:ascii="黑体" w:hAnsi="宋体" w:eastAsia="黑体"/>
                <w:b w:val="0"/>
                <w:bCs w:val="0"/>
                <w:color w:val="auto"/>
                <w:kern w:val="0"/>
                <w:sz w:val="20"/>
                <w:szCs w:val="20"/>
              </w:rPr>
            </w:pPr>
          </w:p>
        </w:tc>
      </w:tr>
      <w:tr>
        <w:tblPrEx>
          <w:tblCellMar>
            <w:top w:w="0" w:type="dxa"/>
            <w:left w:w="108" w:type="dxa"/>
            <w:bottom w:w="0" w:type="dxa"/>
            <w:right w:w="108" w:type="dxa"/>
          </w:tblCellMar>
        </w:tblPrEx>
        <w:trPr>
          <w:trHeight w:val="735" w:hRule="atLeast"/>
          <w:jc w:val="center"/>
        </w:trPr>
        <w:tc>
          <w:tcPr>
            <w:tcW w:w="586" w:type="dxa"/>
            <w:vMerge w:val="restart"/>
            <w:tcBorders>
              <w:top w:val="nil"/>
              <w:left w:val="single" w:color="auto" w:sz="4" w:space="0"/>
              <w:bottom w:val="nil"/>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绩</w:t>
            </w:r>
            <w:r>
              <w:rPr>
                <w:rFonts w:hint="eastAsia" w:ascii="黑体" w:hAnsi="宋体" w:eastAsia="黑体"/>
                <w:color w:val="000000"/>
                <w:kern w:val="0"/>
                <w:sz w:val="20"/>
                <w:szCs w:val="20"/>
              </w:rPr>
              <w:br w:type="textWrapping"/>
            </w:r>
            <w:r>
              <w:rPr>
                <w:rFonts w:hint="eastAsia" w:ascii="黑体" w:hAnsi="宋体" w:eastAsia="黑体"/>
                <w:color w:val="000000"/>
                <w:kern w:val="0"/>
                <w:sz w:val="20"/>
                <w:szCs w:val="20"/>
              </w:rPr>
              <w:t>效</w:t>
            </w:r>
            <w:r>
              <w:rPr>
                <w:rFonts w:hint="eastAsia" w:ascii="黑体" w:hAnsi="宋体" w:eastAsia="黑体"/>
                <w:color w:val="000000"/>
                <w:kern w:val="0"/>
                <w:sz w:val="20"/>
                <w:szCs w:val="20"/>
              </w:rPr>
              <w:br w:type="textWrapping"/>
            </w:r>
            <w:r>
              <w:rPr>
                <w:rFonts w:hint="eastAsia" w:ascii="黑体" w:hAnsi="宋体" w:eastAsia="黑体"/>
                <w:color w:val="000000"/>
                <w:kern w:val="0"/>
                <w:sz w:val="20"/>
                <w:szCs w:val="20"/>
              </w:rPr>
              <w:t>指</w:t>
            </w:r>
            <w:r>
              <w:rPr>
                <w:rFonts w:hint="eastAsia" w:ascii="黑体" w:hAnsi="宋体" w:eastAsia="黑体"/>
                <w:color w:val="000000"/>
                <w:kern w:val="0"/>
                <w:sz w:val="20"/>
                <w:szCs w:val="20"/>
              </w:rPr>
              <w:br w:type="textWrapping"/>
            </w:r>
            <w:r>
              <w:rPr>
                <w:rFonts w:hint="eastAsia" w:ascii="黑体" w:hAnsi="宋体" w:eastAsia="黑体"/>
                <w:color w:val="000000"/>
                <w:kern w:val="0"/>
                <w:sz w:val="20"/>
                <w:szCs w:val="20"/>
              </w:rPr>
              <w:t>标</w:t>
            </w:r>
          </w:p>
        </w:tc>
        <w:tc>
          <w:tcPr>
            <w:tcW w:w="754"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一级</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w:t>
            </w:r>
          </w:p>
        </w:tc>
        <w:tc>
          <w:tcPr>
            <w:tcW w:w="1327"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二级指标</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三级指标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年度</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指标值</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实际</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完成值</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分值</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得分</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偏差原因分析及改进措施</w:t>
            </w: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restart"/>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产出</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(50分）</w:t>
            </w:r>
          </w:p>
        </w:tc>
        <w:tc>
          <w:tcPr>
            <w:tcW w:w="1327" w:type="dxa"/>
            <w:vMerge w:val="restart"/>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数量指标</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（20分）</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黑体" w:eastAsia="黑体" w:cs="黑体"/>
                <w:kern w:val="0"/>
                <w:sz w:val="18"/>
                <w:szCs w:val="18"/>
              </w:rPr>
              <w:t>对辖区医疗机构培训次数</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kern w:val="0"/>
                <w:sz w:val="18"/>
                <w:szCs w:val="18"/>
                <w:lang w:val="en-US" w:eastAsia="zh-CN"/>
              </w:rPr>
              <w:t>3</w:t>
            </w:r>
            <w:r>
              <w:rPr>
                <w:rFonts w:hint="eastAsia" w:ascii="黑体" w:hAnsi="黑体" w:eastAsia="黑体" w:cs="黑体"/>
                <w:kern w:val="0"/>
                <w:sz w:val="18"/>
                <w:szCs w:val="18"/>
              </w:rPr>
              <w:t>次</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auto"/>
                <w:kern w:val="0"/>
                <w:sz w:val="20"/>
                <w:szCs w:val="20"/>
                <w:lang w:eastAsia="zh-CN"/>
              </w:rPr>
            </w:pPr>
            <w:r>
              <w:rPr>
                <w:rFonts w:hint="eastAsia" w:ascii="黑体" w:hAnsi="宋体" w:eastAsia="黑体"/>
                <w:color w:val="auto"/>
                <w:kern w:val="0"/>
                <w:sz w:val="20"/>
                <w:szCs w:val="20"/>
                <w:lang w:val="en-US" w:eastAsia="zh-CN"/>
              </w:rPr>
              <w:t>3</w:t>
            </w:r>
            <w:r>
              <w:rPr>
                <w:rFonts w:hint="eastAsia" w:ascii="黑体" w:hAnsi="宋体" w:eastAsia="黑体"/>
                <w:color w:val="auto"/>
                <w:kern w:val="0"/>
                <w:sz w:val="20"/>
                <w:szCs w:val="20"/>
                <w:lang w:eastAsia="zh-CN"/>
              </w:rPr>
              <w:t>次</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10</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10</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指标2：</w:t>
            </w:r>
            <w:r>
              <w:rPr>
                <w:rFonts w:hint="eastAsia" w:ascii="黑体" w:hAnsi="黑体" w:eastAsia="黑体" w:cs="黑体"/>
                <w:kern w:val="0"/>
                <w:sz w:val="18"/>
                <w:szCs w:val="18"/>
              </w:rPr>
              <w:t>对辖区医疗机构培训人数</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kern w:val="0"/>
                <w:sz w:val="18"/>
                <w:szCs w:val="18"/>
                <w:lang w:val="en-US" w:eastAsia="zh-CN"/>
              </w:rPr>
              <w:t>28</w:t>
            </w:r>
            <w:r>
              <w:rPr>
                <w:rFonts w:hint="eastAsia" w:ascii="黑体" w:hAnsi="黑体" w:eastAsia="黑体" w:cs="黑体"/>
                <w:kern w:val="0"/>
                <w:sz w:val="18"/>
                <w:szCs w:val="18"/>
              </w:rPr>
              <w:t>人</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auto"/>
                <w:kern w:val="0"/>
                <w:sz w:val="20"/>
                <w:szCs w:val="20"/>
                <w:lang w:eastAsia="zh-CN"/>
              </w:rPr>
            </w:pPr>
            <w:r>
              <w:rPr>
                <w:rFonts w:hint="eastAsia" w:ascii="黑体" w:hAnsi="黑体" w:eastAsia="黑体" w:cs="黑体"/>
                <w:kern w:val="0"/>
                <w:sz w:val="18"/>
                <w:szCs w:val="18"/>
                <w:lang w:val="en-US" w:eastAsia="zh-CN"/>
              </w:rPr>
              <w:t>44</w:t>
            </w:r>
            <w:r>
              <w:rPr>
                <w:rFonts w:hint="eastAsia" w:ascii="黑体" w:hAnsi="黑体" w:eastAsia="黑体" w:cs="黑体"/>
                <w:kern w:val="0"/>
                <w:sz w:val="18"/>
                <w:szCs w:val="18"/>
                <w:lang w:eastAsia="zh-CN"/>
              </w:rPr>
              <w:t>人</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10</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10</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restart"/>
            <w:tcBorders>
              <w:top w:val="nil"/>
              <w:left w:val="nil"/>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质量指标</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（15分）</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黑体" w:eastAsia="黑体" w:cs="黑体"/>
                <w:sz w:val="18"/>
                <w:szCs w:val="18"/>
              </w:rPr>
              <w:t>全人群HIV抗体检测率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sz w:val="18"/>
                <w:szCs w:val="18"/>
              </w:rPr>
              <w:t>≥</w:t>
            </w:r>
            <w:r>
              <w:rPr>
                <w:rFonts w:hint="eastAsia" w:ascii="黑体" w:hAnsi="黑体" w:eastAsia="黑体" w:cs="黑体"/>
                <w:sz w:val="18"/>
                <w:szCs w:val="18"/>
                <w:lang w:val="en-US" w:eastAsia="zh-CN"/>
              </w:rPr>
              <w:t>20</w:t>
            </w:r>
            <w:r>
              <w:rPr>
                <w:rFonts w:hint="eastAsia" w:ascii="黑体" w:hAnsi="黑体" w:eastAsia="黑体" w:cs="黑体"/>
                <w:sz w:val="18"/>
                <w:szCs w:val="18"/>
              </w:rPr>
              <w:t>%</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宋体" w:eastAsia="黑体"/>
                <w:color w:val="auto"/>
                <w:kern w:val="0"/>
                <w:sz w:val="20"/>
                <w:szCs w:val="20"/>
                <w:lang w:val="en-US" w:eastAsia="zh-CN"/>
              </w:rPr>
              <w:t>20.74</w:t>
            </w:r>
            <w:r>
              <w:rPr>
                <w:rFonts w:hint="eastAsia" w:ascii="黑体" w:hAnsi="宋体" w:eastAsia="黑体"/>
                <w:color w:val="auto"/>
                <w:kern w:val="0"/>
                <w:sz w:val="20"/>
                <w:szCs w:val="20"/>
              </w:rPr>
              <w:t>%</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3</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3</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634"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left w:val="nil"/>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指标2：</w:t>
            </w:r>
            <w:r>
              <w:rPr>
                <w:rFonts w:hint="eastAsia" w:ascii="黑体" w:hAnsi="黑体" w:eastAsia="黑体" w:cs="黑体"/>
                <w:sz w:val="18"/>
                <w:szCs w:val="18"/>
              </w:rPr>
              <w:t>新发现及既往报告病例的配偶和固定性伴HIV抗体检测率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sz w:val="18"/>
                <w:szCs w:val="18"/>
              </w:rPr>
              <w:t>≥95%</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黑体" w:eastAsia="黑体" w:cs="宋体"/>
                <w:color w:val="000000"/>
                <w:kern w:val="0"/>
                <w:sz w:val="18"/>
                <w:szCs w:val="18"/>
                <w:lang w:val="en-US" w:eastAsia="zh-CN"/>
              </w:rPr>
            </w:pPr>
            <w:r>
              <w:rPr>
                <w:rFonts w:hint="eastAsia" w:ascii="黑体" w:hAnsi="黑体" w:eastAsia="黑体" w:cs="宋体"/>
                <w:color w:val="000000"/>
                <w:kern w:val="0"/>
                <w:sz w:val="18"/>
                <w:szCs w:val="18"/>
                <w:lang w:val="en-US" w:eastAsia="zh-CN"/>
              </w:rPr>
              <w:t xml:space="preserve">   </w:t>
            </w:r>
          </w:p>
          <w:p>
            <w:pPr>
              <w:widowControl/>
              <w:spacing w:line="240" w:lineRule="exact"/>
              <w:ind w:left="-63" w:leftChars="-30" w:right="-63" w:rightChars="-30"/>
              <w:jc w:val="center"/>
              <w:rPr>
                <w:rFonts w:hint="default" w:ascii="黑体" w:hAnsi="黑体" w:eastAsia="黑体" w:cs="宋体"/>
                <w:color w:val="000000"/>
                <w:kern w:val="0"/>
                <w:sz w:val="18"/>
                <w:szCs w:val="18"/>
                <w:lang w:val="en-US" w:eastAsia="zh-CN"/>
              </w:rPr>
            </w:pPr>
            <w:r>
              <w:rPr>
                <w:rFonts w:hint="eastAsia" w:ascii="黑体" w:hAnsi="黑体" w:eastAsia="黑体" w:cs="宋体"/>
                <w:color w:val="000000"/>
                <w:kern w:val="0"/>
                <w:sz w:val="18"/>
                <w:szCs w:val="18"/>
              </w:rPr>
              <w:t>100%</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499"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left w:val="nil"/>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指标3：</w:t>
            </w:r>
            <w:r>
              <w:rPr>
                <w:rFonts w:hint="eastAsia" w:ascii="黑体" w:hAnsi="黑体" w:eastAsia="黑体" w:cs="黑体"/>
                <w:sz w:val="18"/>
                <w:szCs w:val="18"/>
              </w:rPr>
              <w:t>未治疗的艾滋病感染者/病人随访检测比例</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宋体"/>
                <w:color w:val="000000"/>
                <w:kern w:val="0"/>
                <w:sz w:val="18"/>
                <w:szCs w:val="18"/>
              </w:rPr>
              <w:t>≥93%</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黑体" w:eastAsia="黑体" w:cs="宋体"/>
                <w:color w:val="000000"/>
                <w:kern w:val="0"/>
                <w:sz w:val="18"/>
                <w:szCs w:val="18"/>
              </w:rPr>
              <w:t>93.33%</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left w:val="nil"/>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黑体" w:eastAsia="黑体"/>
                <w:color w:val="000000"/>
                <w:kern w:val="0"/>
                <w:sz w:val="20"/>
                <w:szCs w:val="20"/>
              </w:rPr>
            </w:pPr>
            <w:r>
              <w:rPr>
                <w:rFonts w:hint="eastAsia" w:ascii="黑体" w:hAnsi="宋体" w:eastAsia="黑体"/>
                <w:color w:val="000000"/>
                <w:kern w:val="0"/>
                <w:sz w:val="20"/>
                <w:szCs w:val="20"/>
              </w:rPr>
              <w:t>指标4：</w:t>
            </w:r>
            <w:r>
              <w:rPr>
                <w:rFonts w:hint="eastAsia" w:ascii="黑体" w:hAnsi="黑体" w:eastAsia="黑体" w:cs="黑体"/>
                <w:sz w:val="18"/>
                <w:szCs w:val="18"/>
              </w:rPr>
              <w:t>在治病人的CD4和病毒载量检测率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宋体"/>
                <w:color w:val="000000"/>
                <w:kern w:val="0"/>
                <w:sz w:val="18"/>
                <w:szCs w:val="18"/>
              </w:rPr>
              <w:t>93%</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黑体" w:eastAsia="黑体" w:cs="宋体"/>
                <w:color w:val="000000"/>
                <w:kern w:val="0"/>
                <w:sz w:val="18"/>
                <w:szCs w:val="18"/>
              </w:rPr>
              <w:t>94.25%</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left w:val="nil"/>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黑体" w:eastAsia="黑体"/>
                <w:color w:val="000000"/>
                <w:kern w:val="0"/>
                <w:sz w:val="20"/>
                <w:szCs w:val="20"/>
              </w:rPr>
            </w:pPr>
            <w:r>
              <w:rPr>
                <w:rFonts w:hint="eastAsia" w:ascii="黑体" w:hAnsi="宋体" w:eastAsia="黑体"/>
                <w:color w:val="000000"/>
                <w:kern w:val="0"/>
                <w:sz w:val="20"/>
                <w:szCs w:val="20"/>
              </w:rPr>
              <w:t>指标5：</w:t>
            </w:r>
            <w:r>
              <w:rPr>
                <w:rFonts w:hint="eastAsia" w:ascii="黑体" w:hAnsi="黑体" w:eastAsia="黑体" w:cs="黑体"/>
                <w:sz w:val="18"/>
                <w:szCs w:val="18"/>
              </w:rPr>
              <w:t>感染者、病人接受结核病检查比例</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sz w:val="18"/>
                <w:szCs w:val="18"/>
              </w:rPr>
              <w:t>≥9</w:t>
            </w:r>
            <w:r>
              <w:rPr>
                <w:rFonts w:hint="eastAsia" w:ascii="黑体" w:hAnsi="黑体" w:eastAsia="黑体" w:cs="黑体"/>
                <w:sz w:val="18"/>
                <w:szCs w:val="18"/>
                <w:lang w:val="en-US" w:eastAsia="zh-CN"/>
              </w:rPr>
              <w:t>5</w:t>
            </w:r>
            <w:r>
              <w:rPr>
                <w:rFonts w:hint="eastAsia" w:ascii="黑体" w:hAnsi="黑体" w:eastAsia="黑体" w:cs="黑体"/>
                <w:sz w:val="18"/>
                <w:szCs w:val="18"/>
              </w:rPr>
              <w:t>%</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黑体" w:eastAsia="黑体" w:cs="宋体"/>
                <w:color w:val="000000"/>
                <w:kern w:val="0"/>
                <w:sz w:val="18"/>
                <w:szCs w:val="18"/>
              </w:rPr>
              <w:t>98.75&amp;</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left w:val="nil"/>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黑体" w:eastAsia="黑体"/>
                <w:color w:val="000000"/>
                <w:kern w:val="0"/>
                <w:sz w:val="20"/>
                <w:szCs w:val="20"/>
              </w:rPr>
            </w:pPr>
            <w:r>
              <w:rPr>
                <w:rFonts w:hint="eastAsia" w:ascii="黑体" w:hAnsi="宋体" w:eastAsia="黑体"/>
                <w:color w:val="000000"/>
                <w:kern w:val="0"/>
                <w:sz w:val="20"/>
                <w:szCs w:val="20"/>
              </w:rPr>
              <w:t>指标6：</w:t>
            </w:r>
            <w:r>
              <w:rPr>
                <w:rFonts w:hint="eastAsia" w:ascii="黑体" w:hAnsi="黑体" w:eastAsia="黑体" w:cs="黑体"/>
                <w:sz w:val="18"/>
                <w:szCs w:val="18"/>
              </w:rPr>
              <w:t>居民艾滋病防治知识知晓率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sz w:val="18"/>
                <w:szCs w:val="18"/>
              </w:rPr>
              <w:t>≥85%</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黑体" w:eastAsia="黑体" w:cs="宋体"/>
                <w:color w:val="000000"/>
                <w:kern w:val="0"/>
                <w:sz w:val="18"/>
                <w:szCs w:val="18"/>
              </w:rPr>
              <w:t>93.5%</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黑体" w:eastAsia="黑体"/>
                <w:color w:val="000000"/>
                <w:kern w:val="0"/>
                <w:sz w:val="20"/>
                <w:szCs w:val="20"/>
              </w:rPr>
            </w:pPr>
            <w:r>
              <w:rPr>
                <w:rFonts w:hint="eastAsia" w:ascii="黑体" w:hAnsi="宋体" w:eastAsia="黑体"/>
                <w:color w:val="000000"/>
                <w:kern w:val="0"/>
                <w:sz w:val="20"/>
                <w:szCs w:val="20"/>
              </w:rPr>
              <w:t>指标7：</w:t>
            </w:r>
            <w:r>
              <w:rPr>
                <w:rFonts w:hint="eastAsia" w:ascii="黑体" w:hAnsi="黑体" w:eastAsia="黑体" w:cs="黑体"/>
                <w:sz w:val="18"/>
                <w:szCs w:val="18"/>
              </w:rPr>
              <w:t>流动人口、青年学生、监管场所被监管人员等重点人群以及易感染艾滋病危险行为人群防治知识知晓率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宋体"/>
                <w:color w:val="000000"/>
                <w:kern w:val="0"/>
                <w:sz w:val="18"/>
                <w:szCs w:val="18"/>
              </w:rPr>
              <w:t>≥95%</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黑体" w:eastAsia="黑体" w:cs="宋体"/>
                <w:color w:val="000000"/>
                <w:kern w:val="0"/>
                <w:sz w:val="18"/>
                <w:szCs w:val="18"/>
              </w:rPr>
              <w:t>95.75%</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2</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single" w:color="auto" w:sz="4" w:space="0"/>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single" w:color="auto" w:sz="4" w:space="0"/>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时效指标</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（5分）</w:t>
            </w:r>
          </w:p>
        </w:tc>
        <w:tc>
          <w:tcPr>
            <w:tcW w:w="2225" w:type="dxa"/>
            <w:gridSpan w:val="3"/>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ascii="黑体" w:hAnsi="黑体" w:eastAsia="黑体" w:cs="宋体"/>
                <w:color w:val="000000"/>
                <w:kern w:val="0"/>
                <w:sz w:val="18"/>
                <w:szCs w:val="18"/>
              </w:rPr>
              <w:t>艾滋病和性病防治及时性</w:t>
            </w:r>
          </w:p>
        </w:tc>
        <w:tc>
          <w:tcPr>
            <w:tcW w:w="1115"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ascii="黑体" w:hAnsi="黑体" w:eastAsia="黑体" w:cs="宋体"/>
                <w:color w:val="000000"/>
                <w:kern w:val="0"/>
                <w:sz w:val="18"/>
                <w:szCs w:val="18"/>
              </w:rPr>
              <w:t>及时</w:t>
            </w:r>
          </w:p>
        </w:tc>
        <w:tc>
          <w:tcPr>
            <w:tcW w:w="77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ascii="黑体" w:hAnsi="黑体" w:eastAsia="黑体" w:cs="宋体"/>
                <w:color w:val="000000"/>
                <w:kern w:val="0"/>
                <w:sz w:val="18"/>
                <w:szCs w:val="18"/>
              </w:rPr>
              <w:t>及时</w:t>
            </w:r>
          </w:p>
        </w:tc>
        <w:tc>
          <w:tcPr>
            <w:tcW w:w="47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5</w:t>
            </w:r>
          </w:p>
        </w:tc>
        <w:tc>
          <w:tcPr>
            <w:tcW w:w="574"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5</w:t>
            </w:r>
          </w:p>
        </w:tc>
        <w:tc>
          <w:tcPr>
            <w:tcW w:w="1296" w:type="dxa"/>
            <w:gridSpan w:val="2"/>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成本指标</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（10分）</w:t>
            </w:r>
          </w:p>
        </w:tc>
        <w:tc>
          <w:tcPr>
            <w:tcW w:w="2225" w:type="dxa"/>
            <w:gridSpan w:val="3"/>
            <w:tcBorders>
              <w:top w:val="single" w:color="auto" w:sz="4" w:space="0"/>
              <w:left w:val="single" w:color="auto" w:sz="4" w:space="0"/>
              <w:bottom w:val="single" w:color="auto" w:sz="4" w:space="0"/>
              <w:right w:val="single" w:color="auto" w:sz="4" w:space="0"/>
            </w:tcBorders>
            <w:vAlign w:val="center"/>
          </w:tcPr>
          <w:p>
            <w:pPr>
              <w:widowControl/>
              <w:tabs>
                <w:tab w:val="center" w:pos="959"/>
              </w:tabs>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黑体" w:eastAsia="黑体" w:cs="宋体"/>
                <w:color w:val="000000"/>
                <w:kern w:val="0"/>
                <w:sz w:val="18"/>
                <w:szCs w:val="18"/>
              </w:rPr>
              <w:t>艾滋病和性病防治成本</w:t>
            </w:r>
          </w:p>
        </w:tc>
        <w:tc>
          <w:tcPr>
            <w:tcW w:w="1115"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ascii="黑体" w:hAnsi="黑体" w:eastAsia="黑体" w:cs="宋体"/>
                <w:color w:val="000000"/>
                <w:kern w:val="0"/>
                <w:sz w:val="18"/>
                <w:szCs w:val="18"/>
              </w:rPr>
              <w:t>24万元</w:t>
            </w:r>
          </w:p>
        </w:tc>
        <w:tc>
          <w:tcPr>
            <w:tcW w:w="770" w:type="dxa"/>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ascii="黑体" w:hAnsi="黑体" w:eastAsia="黑体" w:cs="宋体"/>
                <w:color w:val="000000"/>
                <w:kern w:val="0"/>
                <w:sz w:val="18"/>
                <w:szCs w:val="18"/>
              </w:rPr>
              <w:t>24万元</w:t>
            </w:r>
          </w:p>
        </w:tc>
        <w:tc>
          <w:tcPr>
            <w:tcW w:w="47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10</w:t>
            </w:r>
          </w:p>
        </w:tc>
        <w:tc>
          <w:tcPr>
            <w:tcW w:w="574"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20"/>
                <w:szCs w:val="20"/>
                <w:lang w:val="en-US" w:eastAsia="zh-CN"/>
              </w:rPr>
            </w:pPr>
            <w:r>
              <w:rPr>
                <w:rFonts w:hint="eastAsia" w:ascii="黑体" w:hAnsi="宋体" w:eastAsia="黑体"/>
                <w:color w:val="000000"/>
                <w:kern w:val="0"/>
                <w:sz w:val="20"/>
                <w:szCs w:val="20"/>
                <w:lang w:val="en-US" w:eastAsia="zh-CN"/>
              </w:rPr>
              <w:t>10</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restart"/>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效益</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(30分）</w:t>
            </w:r>
          </w:p>
        </w:tc>
        <w:tc>
          <w:tcPr>
            <w:tcW w:w="1327" w:type="dxa"/>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经济效益</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宋体" w:eastAsia="黑体"/>
                <w:kern w:val="0"/>
                <w:sz w:val="18"/>
                <w:szCs w:val="18"/>
              </w:rPr>
              <w:t>办公效率提高程度(%)</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kern w:val="0"/>
                <w:sz w:val="18"/>
                <w:szCs w:val="18"/>
              </w:rPr>
              <w:t>控制数</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宋体" w:eastAsia="黑体"/>
                <w:color w:val="auto"/>
                <w:kern w:val="0"/>
                <w:sz w:val="18"/>
                <w:szCs w:val="18"/>
              </w:rPr>
              <w:t>控制数</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val="en-US" w:eastAsia="zh-CN"/>
              </w:rPr>
            </w:pPr>
            <w:r>
              <w:rPr>
                <w:rFonts w:hint="eastAsia" w:ascii="黑体" w:hAnsi="宋体" w:eastAsia="黑体"/>
                <w:color w:val="000000"/>
                <w:kern w:val="0"/>
                <w:sz w:val="20"/>
                <w:szCs w:val="20"/>
              </w:rPr>
              <w:t>4.</w:t>
            </w:r>
            <w:r>
              <w:rPr>
                <w:rFonts w:hint="eastAsia" w:ascii="黑体" w:hAnsi="宋体" w:eastAsia="黑体"/>
                <w:color w:val="000000"/>
                <w:kern w:val="0"/>
                <w:sz w:val="20"/>
                <w:szCs w:val="20"/>
                <w:lang w:val="en-US" w:eastAsia="zh-CN"/>
              </w:rPr>
              <w:t>5</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restart"/>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社会效益</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黑体" w:eastAsia="黑体" w:cs="黑体"/>
                <w:sz w:val="18"/>
                <w:szCs w:val="18"/>
              </w:rPr>
              <w:t>贫困艾滋病患者免费救治工作任务指标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sz w:val="18"/>
                <w:szCs w:val="18"/>
              </w:rPr>
              <w:t>100%</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宋体" w:eastAsia="黑体"/>
                <w:color w:val="auto"/>
                <w:kern w:val="0"/>
                <w:sz w:val="20"/>
                <w:szCs w:val="20"/>
              </w:rPr>
              <w:t>100%</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指标2：</w:t>
            </w:r>
            <w:r>
              <w:rPr>
                <w:rFonts w:hint="eastAsia" w:ascii="黑体" w:hAnsi="黑体" w:eastAsia="黑体" w:cs="黑体"/>
                <w:sz w:val="18"/>
                <w:szCs w:val="18"/>
              </w:rPr>
              <w:t>艾滋病的防控教育(%)</w:t>
            </w:r>
          </w:p>
        </w:tc>
        <w:tc>
          <w:tcPr>
            <w:tcW w:w="1115" w:type="dxa"/>
            <w:gridSpan w:val="2"/>
            <w:tcBorders>
              <w:top w:val="nil"/>
              <w:left w:val="nil"/>
              <w:bottom w:val="single" w:color="auto" w:sz="4" w:space="0"/>
              <w:right w:val="single" w:color="auto" w:sz="4" w:space="0"/>
            </w:tcBorders>
            <w:vAlign w:val="center"/>
          </w:tcPr>
          <w:p>
            <w:pPr>
              <w:widowControl/>
              <w:jc w:val="left"/>
              <w:rPr>
                <w:rFonts w:ascii="黑体" w:hAnsi="黑体" w:eastAsia="黑体" w:cs="黑体"/>
                <w:kern w:val="0"/>
                <w:sz w:val="18"/>
                <w:szCs w:val="18"/>
              </w:rPr>
            </w:pPr>
            <w:r>
              <w:rPr>
                <w:rFonts w:hint="eastAsia" w:ascii="黑体" w:hAnsi="黑体" w:eastAsia="黑体" w:cs="黑体"/>
                <w:kern w:val="0"/>
                <w:sz w:val="18"/>
                <w:szCs w:val="18"/>
              </w:rPr>
              <w:t>按年度计划</w:t>
            </w:r>
          </w:p>
        </w:tc>
        <w:tc>
          <w:tcPr>
            <w:tcW w:w="770" w:type="dxa"/>
            <w:tcBorders>
              <w:top w:val="nil"/>
              <w:left w:val="nil"/>
              <w:bottom w:val="single" w:color="auto" w:sz="4" w:space="0"/>
              <w:right w:val="single" w:color="auto" w:sz="4" w:space="0"/>
            </w:tcBorders>
            <w:vAlign w:val="center"/>
          </w:tcPr>
          <w:p>
            <w:pPr>
              <w:widowControl/>
              <w:jc w:val="left"/>
              <w:rPr>
                <w:rFonts w:ascii="黑体" w:hAnsi="黑体" w:eastAsia="黑体" w:cs="黑体"/>
                <w:color w:val="auto"/>
                <w:kern w:val="0"/>
                <w:sz w:val="18"/>
                <w:szCs w:val="18"/>
              </w:rPr>
            </w:pPr>
            <w:r>
              <w:rPr>
                <w:rFonts w:hint="eastAsia" w:ascii="黑体" w:hAnsi="黑体" w:eastAsia="黑体" w:cs="黑体"/>
                <w:color w:val="auto"/>
                <w:kern w:val="0"/>
                <w:sz w:val="18"/>
                <w:szCs w:val="18"/>
              </w:rPr>
              <w:t>按年度计划</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指标3：</w:t>
            </w:r>
            <w:r>
              <w:rPr>
                <w:rFonts w:hint="eastAsia" w:ascii="黑体" w:hAnsi="黑体" w:eastAsia="黑体" w:cs="黑体"/>
                <w:spacing w:val="-4"/>
                <w:sz w:val="18"/>
                <w:szCs w:val="18"/>
              </w:rPr>
              <w:t>公共服务水平提高程度(%)</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s="黑体"/>
                <w:spacing w:val="-4"/>
                <w:sz w:val="18"/>
                <w:szCs w:val="18"/>
              </w:rPr>
              <w:t>控制数</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黑体" w:eastAsia="黑体" w:cs="黑体"/>
                <w:color w:val="auto"/>
                <w:spacing w:val="-4"/>
                <w:sz w:val="18"/>
                <w:szCs w:val="18"/>
              </w:rPr>
              <w:t>控制数</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生态效益</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宋体" w:eastAsia="黑体"/>
                <w:kern w:val="0"/>
                <w:sz w:val="18"/>
                <w:szCs w:val="18"/>
              </w:rPr>
              <w:t>办公资源循环利用率(%)</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kern w:val="0"/>
                <w:sz w:val="18"/>
                <w:szCs w:val="18"/>
              </w:rPr>
              <w:t>控制数</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宋体" w:eastAsia="黑体"/>
                <w:color w:val="auto"/>
                <w:kern w:val="0"/>
                <w:sz w:val="18"/>
                <w:szCs w:val="18"/>
              </w:rPr>
              <w:t>控制数</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eastAsia" w:ascii="黑体" w:hAnsi="宋体" w:eastAsia="黑体"/>
                <w:color w:val="000000"/>
                <w:kern w:val="0"/>
                <w:sz w:val="20"/>
                <w:szCs w:val="20"/>
                <w:lang w:eastAsia="zh-CN"/>
              </w:rPr>
            </w:pPr>
            <w:r>
              <w:rPr>
                <w:rFonts w:hint="eastAsia" w:ascii="黑体" w:hAnsi="宋体" w:eastAsia="黑体"/>
                <w:color w:val="000000"/>
                <w:kern w:val="0"/>
                <w:sz w:val="20"/>
                <w:szCs w:val="20"/>
                <w:lang w:val="en-US" w:eastAsia="zh-CN"/>
              </w:rPr>
              <w:t>5</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vMerge w:val="continue"/>
            <w:tcBorders>
              <w:top w:val="nil"/>
              <w:left w:val="nil"/>
              <w:bottom w:val="single" w:color="auto" w:sz="4" w:space="0"/>
              <w:right w:val="single" w:color="auto" w:sz="4" w:space="0"/>
            </w:tcBorders>
            <w:vAlign w:val="center"/>
          </w:tcPr>
          <w:p>
            <w:pPr>
              <w:widowControl/>
              <w:jc w:val="left"/>
              <w:rPr>
                <w:rFonts w:ascii="黑体" w:hAnsi="宋体" w:eastAsia="黑体"/>
                <w:color w:val="000000"/>
                <w:kern w:val="0"/>
                <w:sz w:val="20"/>
                <w:szCs w:val="20"/>
              </w:rPr>
            </w:pPr>
          </w:p>
        </w:tc>
        <w:tc>
          <w:tcPr>
            <w:tcW w:w="1327"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可持续影响指标</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宋体" w:eastAsia="黑体"/>
                <w:kern w:val="0"/>
                <w:sz w:val="18"/>
                <w:szCs w:val="18"/>
              </w:rPr>
              <w:t>通过综合分析项目近三年的资金情况和绩效情况，项目在财政资金支持下，可持续发展。</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kern w:val="0"/>
                <w:sz w:val="18"/>
                <w:szCs w:val="18"/>
              </w:rPr>
              <w:t>可持续发展</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宋体" w:eastAsia="黑体"/>
                <w:color w:val="auto"/>
                <w:kern w:val="0"/>
                <w:sz w:val="18"/>
                <w:szCs w:val="18"/>
              </w:rPr>
              <w:t>可持续发展</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5</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586" w:type="dxa"/>
            <w:vMerge w:val="continue"/>
            <w:tcBorders>
              <w:top w:val="nil"/>
              <w:left w:val="single" w:color="auto" w:sz="4" w:space="0"/>
              <w:bottom w:val="nil"/>
              <w:right w:val="single" w:color="auto" w:sz="4" w:space="0"/>
            </w:tcBorders>
            <w:vAlign w:val="center"/>
          </w:tcPr>
          <w:p>
            <w:pPr>
              <w:widowControl/>
              <w:jc w:val="left"/>
              <w:rPr>
                <w:rFonts w:ascii="黑体" w:hAnsi="宋体" w:eastAsia="黑体"/>
                <w:color w:val="000000"/>
                <w:kern w:val="0"/>
                <w:sz w:val="20"/>
                <w:szCs w:val="20"/>
              </w:rPr>
            </w:pPr>
          </w:p>
        </w:tc>
        <w:tc>
          <w:tcPr>
            <w:tcW w:w="754" w:type="dxa"/>
            <w:tcBorders>
              <w:top w:val="nil"/>
              <w:left w:val="nil"/>
              <w:bottom w:val="nil"/>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满意度</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指标</w:t>
            </w:r>
          </w:p>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(10分）</w:t>
            </w:r>
          </w:p>
        </w:tc>
        <w:tc>
          <w:tcPr>
            <w:tcW w:w="1327"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服务对象满意度指标（10分）</w:t>
            </w:r>
          </w:p>
        </w:tc>
        <w:tc>
          <w:tcPr>
            <w:tcW w:w="2225" w:type="dxa"/>
            <w:gridSpan w:val="3"/>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left"/>
              <w:rPr>
                <w:rFonts w:ascii="黑体" w:hAnsi="宋体" w:eastAsia="黑体"/>
                <w:color w:val="000000"/>
                <w:kern w:val="0"/>
                <w:sz w:val="20"/>
                <w:szCs w:val="20"/>
              </w:rPr>
            </w:pPr>
            <w:r>
              <w:rPr>
                <w:rFonts w:hint="eastAsia" w:ascii="黑体" w:hAnsi="宋体" w:eastAsia="黑体"/>
                <w:color w:val="000000"/>
                <w:kern w:val="0"/>
                <w:sz w:val="20"/>
                <w:szCs w:val="20"/>
              </w:rPr>
              <w:t>指标1：</w:t>
            </w:r>
            <w:r>
              <w:rPr>
                <w:rFonts w:hint="eastAsia" w:ascii="黑体" w:hAnsi="宋体" w:eastAsia="黑体"/>
                <w:kern w:val="0"/>
                <w:sz w:val="18"/>
                <w:szCs w:val="18"/>
              </w:rPr>
              <w:t>服务对象综合满意度调查情况</w:t>
            </w:r>
          </w:p>
        </w:tc>
        <w:tc>
          <w:tcPr>
            <w:tcW w:w="1115"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kern w:val="0"/>
                <w:sz w:val="18"/>
                <w:szCs w:val="18"/>
              </w:rPr>
              <w:t>≥90%</w:t>
            </w:r>
          </w:p>
        </w:tc>
        <w:tc>
          <w:tcPr>
            <w:tcW w:w="770" w:type="dxa"/>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auto"/>
                <w:kern w:val="0"/>
                <w:sz w:val="20"/>
                <w:szCs w:val="20"/>
              </w:rPr>
            </w:pPr>
            <w:r>
              <w:rPr>
                <w:rFonts w:hint="eastAsia" w:ascii="黑体" w:hAnsi="宋体" w:eastAsia="黑体"/>
                <w:color w:val="auto"/>
                <w:kern w:val="0"/>
                <w:sz w:val="18"/>
                <w:szCs w:val="18"/>
                <w:lang w:val="en-US" w:eastAsia="zh-CN"/>
              </w:rPr>
              <w:t>95</w:t>
            </w:r>
            <w:r>
              <w:rPr>
                <w:rFonts w:hint="eastAsia" w:ascii="黑体" w:hAnsi="宋体" w:eastAsia="黑体"/>
                <w:color w:val="auto"/>
                <w:kern w:val="0"/>
                <w:sz w:val="18"/>
                <w:szCs w:val="18"/>
              </w:rPr>
              <w:t>%</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10</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10</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r>
        <w:tblPrEx>
          <w:tblCellMar>
            <w:top w:w="0" w:type="dxa"/>
            <w:left w:w="108" w:type="dxa"/>
            <w:bottom w:w="0" w:type="dxa"/>
            <w:right w:w="108" w:type="dxa"/>
          </w:tblCellMar>
        </w:tblPrEx>
        <w:trPr>
          <w:trHeight w:val="302" w:hRule="atLeast"/>
          <w:jc w:val="center"/>
        </w:trPr>
        <w:tc>
          <w:tcPr>
            <w:tcW w:w="6777" w:type="dxa"/>
            <w:gridSpan w:val="9"/>
            <w:tcBorders>
              <w:top w:val="single" w:color="auto" w:sz="4" w:space="0"/>
              <w:left w:val="single" w:color="auto" w:sz="4" w:space="0"/>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宋体" w:eastAsia="黑体"/>
                <w:color w:val="000000"/>
                <w:kern w:val="0"/>
                <w:sz w:val="20"/>
                <w:szCs w:val="20"/>
              </w:rPr>
              <w:t>总分</w:t>
            </w:r>
          </w:p>
        </w:tc>
        <w:tc>
          <w:tcPr>
            <w:tcW w:w="476"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r>
              <w:rPr>
                <w:rFonts w:hint="eastAsia" w:ascii="黑体" w:hAnsi="黑体" w:eastAsia="黑体"/>
                <w:color w:val="000000"/>
                <w:kern w:val="0"/>
                <w:sz w:val="20"/>
                <w:szCs w:val="20"/>
              </w:rPr>
              <w:t>100</w:t>
            </w:r>
          </w:p>
        </w:tc>
        <w:tc>
          <w:tcPr>
            <w:tcW w:w="574" w:type="dxa"/>
            <w:gridSpan w:val="2"/>
            <w:tcBorders>
              <w:top w:val="nil"/>
              <w:left w:val="nil"/>
              <w:bottom w:val="single" w:color="auto" w:sz="4" w:space="0"/>
              <w:right w:val="single" w:color="auto" w:sz="4" w:space="0"/>
            </w:tcBorders>
            <w:vAlign w:val="center"/>
          </w:tcPr>
          <w:p>
            <w:pPr>
              <w:widowControl/>
              <w:spacing w:line="240" w:lineRule="exact"/>
              <w:ind w:left="-63" w:leftChars="-30" w:right="-63" w:rightChars="-30"/>
              <w:jc w:val="center"/>
              <w:rPr>
                <w:rFonts w:hint="default" w:ascii="黑体" w:hAnsi="宋体" w:eastAsia="黑体"/>
                <w:color w:val="000000"/>
                <w:kern w:val="0"/>
                <w:sz w:val="18"/>
                <w:szCs w:val="18"/>
                <w:lang w:val="en-US" w:eastAsia="zh-CN"/>
              </w:rPr>
            </w:pPr>
            <w:r>
              <w:rPr>
                <w:rFonts w:hint="eastAsia" w:ascii="黑体" w:hAnsi="宋体" w:eastAsia="黑体"/>
                <w:color w:val="000000"/>
                <w:kern w:val="0"/>
                <w:sz w:val="18"/>
                <w:szCs w:val="18"/>
                <w:lang w:val="en-US" w:eastAsia="zh-CN"/>
              </w:rPr>
              <w:t>95.33</w:t>
            </w:r>
          </w:p>
        </w:tc>
        <w:tc>
          <w:tcPr>
            <w:tcW w:w="1296" w:type="dxa"/>
            <w:gridSpan w:val="2"/>
            <w:tcBorders>
              <w:top w:val="single" w:color="auto" w:sz="4" w:space="0"/>
              <w:left w:val="nil"/>
              <w:bottom w:val="single" w:color="auto" w:sz="4" w:space="0"/>
              <w:right w:val="single" w:color="auto" w:sz="4" w:space="0"/>
            </w:tcBorders>
            <w:vAlign w:val="center"/>
          </w:tcPr>
          <w:p>
            <w:pPr>
              <w:widowControl/>
              <w:spacing w:line="240" w:lineRule="exact"/>
              <w:ind w:left="-63" w:leftChars="-30" w:right="-63" w:rightChars="-30"/>
              <w:jc w:val="center"/>
              <w:rPr>
                <w:rFonts w:ascii="黑体" w:hAnsi="宋体" w:eastAsia="黑体"/>
                <w:color w:val="000000"/>
                <w:kern w:val="0"/>
                <w:sz w:val="20"/>
                <w:szCs w:val="20"/>
              </w:rPr>
            </w:pPr>
          </w:p>
        </w:tc>
      </w:tr>
    </w:tbl>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ascii="黑体" w:hAnsi="宋体" w:eastAsia="黑体" w:cs="Arial"/>
          <w:bCs/>
          <w:color w:val="000000"/>
          <w:sz w:val="32"/>
          <w:szCs w:val="32"/>
        </w:rPr>
      </w:pPr>
      <w:r>
        <w:rPr>
          <w:rFonts w:hint="eastAsia" w:ascii="黑体" w:hAnsi="宋体" w:eastAsia="黑体" w:cs="Arial"/>
          <w:bCs/>
          <w:color w:val="000000"/>
          <w:sz w:val="32"/>
          <w:szCs w:val="32"/>
        </w:rPr>
        <w:t>附件</w:t>
      </w:r>
      <w:r>
        <w:rPr>
          <w:rFonts w:hint="eastAsia" w:ascii="黑体" w:hAnsi="宋体" w:eastAsia="黑体" w:cs="Arial"/>
          <w:bCs/>
          <w:color w:val="000000"/>
          <w:sz w:val="32"/>
          <w:szCs w:val="32"/>
          <w:lang w:val="en-US" w:eastAsia="zh-CN"/>
        </w:rPr>
        <w:t>4</w:t>
      </w:r>
      <w:r>
        <w:rPr>
          <w:rFonts w:hint="eastAsia" w:ascii="黑体" w:hAnsi="宋体" w:eastAsia="黑体" w:cs="Arial"/>
          <w:bCs/>
          <w:color w:val="000000"/>
          <w:sz w:val="32"/>
          <w:szCs w:val="32"/>
        </w:rPr>
        <w:t>：</w:t>
      </w: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 xml:space="preserve"> 城镇独生子女父母奖励项目</w:t>
      </w:r>
    </w:p>
    <w:p>
      <w:pPr>
        <w:jc w:val="center"/>
        <w:rPr>
          <w:rFonts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支出部门评价报告</w:t>
      </w:r>
    </w:p>
    <w:p>
      <w:pPr>
        <w:jc w:val="center"/>
        <w:rPr>
          <w:rFonts w:ascii="黑体" w:hAnsi="宋体" w:eastAsia="黑体" w:cs="Arial"/>
          <w:bCs/>
          <w:color w:val="000000"/>
          <w:sz w:val="32"/>
          <w:szCs w:val="32"/>
        </w:rPr>
      </w:pP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一、基本情况</w:t>
      </w:r>
    </w:p>
    <w:p>
      <w:pPr>
        <w:spacing w:line="600" w:lineRule="exact"/>
        <w:ind w:firstLine="643" w:firstLineChars="200"/>
        <w:outlineLvl w:val="0"/>
        <w:rPr>
          <w:rFonts w:ascii="楷体" w:hAnsi="楷体" w:eastAsia="楷体" w:cs="楷体_GB2312"/>
          <w:b/>
          <w:color w:val="000000"/>
          <w:sz w:val="32"/>
          <w:szCs w:val="32"/>
        </w:rPr>
      </w:pPr>
      <w:r>
        <w:rPr>
          <w:rFonts w:hint="eastAsia" w:ascii="楷体" w:hAnsi="楷体" w:eastAsia="楷体" w:cs="楷体_GB2312"/>
          <w:b/>
          <w:color w:val="000000"/>
          <w:sz w:val="32"/>
          <w:szCs w:val="32"/>
        </w:rPr>
        <w:t>（一）项目概况。</w:t>
      </w:r>
    </w:p>
    <w:p>
      <w:pPr>
        <w:spacing w:line="520" w:lineRule="exact"/>
        <w:ind w:firstLine="562" w:firstLineChars="200"/>
        <w:rPr>
          <w:rFonts w:ascii="仿宋" w:hAnsi="仿宋" w:eastAsia="仿宋"/>
          <w:sz w:val="32"/>
          <w:szCs w:val="32"/>
        </w:rPr>
      </w:pPr>
      <w:r>
        <w:rPr>
          <w:rFonts w:hint="eastAsia" w:ascii="楷体_GB2312" w:eastAsia="楷体_GB2312"/>
          <w:b/>
          <w:color w:val="000000"/>
          <w:sz w:val="28"/>
          <w:szCs w:val="28"/>
        </w:rPr>
        <w:t>项目背景：</w:t>
      </w:r>
      <w:r>
        <w:rPr>
          <w:rFonts w:hint="eastAsia" w:ascii="仿宋" w:hAnsi="仿宋" w:eastAsia="仿宋"/>
          <w:sz w:val="32"/>
          <w:szCs w:val="32"/>
        </w:rPr>
        <w:t>落实《江西省城镇居民独生子女父母奖励办法》文件精神。</w:t>
      </w:r>
    </w:p>
    <w:p>
      <w:pPr>
        <w:spacing w:line="520" w:lineRule="exact"/>
        <w:ind w:firstLine="562" w:firstLineChars="200"/>
        <w:rPr>
          <w:rFonts w:ascii="仿宋" w:hAnsi="仿宋" w:eastAsia="仿宋"/>
          <w:sz w:val="32"/>
          <w:szCs w:val="32"/>
        </w:rPr>
      </w:pPr>
      <w:r>
        <w:rPr>
          <w:rFonts w:hint="eastAsia" w:ascii="楷体_GB2312" w:eastAsia="楷体_GB2312"/>
          <w:b/>
          <w:color w:val="000000"/>
          <w:sz w:val="28"/>
          <w:szCs w:val="28"/>
        </w:rPr>
        <w:t>主要内容及实施情况：</w:t>
      </w:r>
      <w:r>
        <w:rPr>
          <w:rFonts w:hint="eastAsia" w:ascii="仿宋" w:hAnsi="仿宋" w:eastAsia="仿宋"/>
          <w:sz w:val="32"/>
          <w:szCs w:val="32"/>
        </w:rPr>
        <w:t>将城镇独生子女奖励作为重大民生工程抓好、抓实。年底前将奖励金发放到位。</w:t>
      </w:r>
    </w:p>
    <w:p>
      <w:pPr>
        <w:spacing w:line="520" w:lineRule="exact"/>
        <w:ind w:firstLine="562" w:firstLineChars="200"/>
        <w:rPr>
          <w:rFonts w:ascii="仿宋" w:hAnsi="仿宋" w:eastAsia="仿宋"/>
          <w:sz w:val="32"/>
          <w:szCs w:val="32"/>
        </w:rPr>
      </w:pPr>
      <w:r>
        <w:rPr>
          <w:rFonts w:hint="eastAsia" w:ascii="楷体_GB2312" w:eastAsia="楷体_GB2312"/>
          <w:b/>
          <w:color w:val="000000"/>
          <w:sz w:val="28"/>
          <w:szCs w:val="28"/>
        </w:rPr>
        <w:t>资金投入和使用情况：</w:t>
      </w:r>
      <w:r>
        <w:rPr>
          <w:rFonts w:hint="eastAsia" w:ascii="仿宋" w:hAnsi="仿宋" w:eastAsia="仿宋"/>
          <w:sz w:val="32"/>
          <w:szCs w:val="32"/>
        </w:rPr>
        <w:t>项目资金投入4898.50万元，全部为区级财政资金，项目资金于2021年12月全部发放到位，发放人数41513人。</w:t>
      </w:r>
    </w:p>
    <w:p>
      <w:pPr>
        <w:spacing w:line="520" w:lineRule="exact"/>
        <w:ind w:firstLine="643" w:firstLineChars="200"/>
        <w:rPr>
          <w:rFonts w:ascii="楷体" w:hAnsi="楷体" w:eastAsia="楷体" w:cs="楷体_GB2312"/>
          <w:b/>
          <w:color w:val="000000"/>
          <w:sz w:val="32"/>
          <w:szCs w:val="32"/>
        </w:rPr>
      </w:pPr>
      <w:r>
        <w:rPr>
          <w:rFonts w:hint="eastAsia" w:ascii="楷体" w:hAnsi="楷体" w:eastAsia="楷体" w:cs="楷体_GB2312"/>
          <w:b/>
          <w:color w:val="000000"/>
          <w:sz w:val="32"/>
          <w:szCs w:val="32"/>
        </w:rPr>
        <w:t>（二）项目绩效目标。</w:t>
      </w:r>
    </w:p>
    <w:p>
      <w:pPr>
        <w:spacing w:line="600" w:lineRule="exact"/>
        <w:ind w:firstLine="562" w:firstLineChars="200"/>
        <w:rPr>
          <w:rFonts w:ascii="仿宋" w:hAnsi="仿宋" w:eastAsia="仿宋"/>
          <w:sz w:val="32"/>
          <w:szCs w:val="32"/>
        </w:rPr>
      </w:pPr>
      <w:r>
        <w:rPr>
          <w:rFonts w:hint="eastAsia" w:ascii="楷体_GB2312" w:eastAsia="楷体_GB2312"/>
          <w:b/>
          <w:color w:val="000000"/>
          <w:sz w:val="28"/>
          <w:szCs w:val="28"/>
        </w:rPr>
        <w:t>总体目标：</w:t>
      </w:r>
      <w:r>
        <w:rPr>
          <w:rFonts w:hint="eastAsia" w:ascii="仿宋" w:hAnsi="仿宋" w:eastAsia="仿宋"/>
          <w:sz w:val="32"/>
          <w:szCs w:val="32"/>
        </w:rPr>
        <w:t>落实《江西省城镇居民独生子女父母奖励办法》文件精神。</w:t>
      </w:r>
    </w:p>
    <w:p>
      <w:pPr>
        <w:spacing w:line="600" w:lineRule="exact"/>
        <w:ind w:firstLine="562" w:firstLineChars="200"/>
        <w:rPr>
          <w:rFonts w:ascii="仿宋" w:hAnsi="仿宋" w:eastAsia="仿宋"/>
          <w:sz w:val="32"/>
          <w:szCs w:val="32"/>
        </w:rPr>
      </w:pPr>
      <w:r>
        <w:rPr>
          <w:rFonts w:hint="eastAsia" w:ascii="楷体_GB2312" w:eastAsia="楷体_GB2312"/>
          <w:b/>
          <w:color w:val="000000"/>
          <w:sz w:val="28"/>
          <w:szCs w:val="28"/>
        </w:rPr>
        <w:t>阶段性目标：</w:t>
      </w:r>
      <w:r>
        <w:rPr>
          <w:rFonts w:hint="eastAsia" w:ascii="仿宋" w:hAnsi="仿宋" w:eastAsia="仿宋"/>
          <w:sz w:val="32"/>
          <w:szCs w:val="32"/>
        </w:rPr>
        <w:t>将奖励资金据实发放到位，关爱独生子女父母，促进家庭社会和谐。</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二、绩效评价工作开展情况</w:t>
      </w:r>
    </w:p>
    <w:p>
      <w:pPr>
        <w:spacing w:line="600" w:lineRule="exact"/>
        <w:ind w:firstLine="643" w:firstLineChars="200"/>
        <w:outlineLvl w:val="0"/>
        <w:rPr>
          <w:rFonts w:ascii="楷体" w:hAnsi="楷体" w:eastAsia="楷体" w:cs="楷体_GB2312"/>
          <w:b/>
          <w:color w:val="000000"/>
          <w:sz w:val="32"/>
          <w:szCs w:val="32"/>
        </w:rPr>
      </w:pPr>
      <w:r>
        <w:rPr>
          <w:rFonts w:hint="eastAsia" w:ascii="楷体" w:hAnsi="楷体" w:eastAsia="楷体" w:cs="楷体_GB2312"/>
          <w:b/>
          <w:color w:val="000000"/>
          <w:sz w:val="32"/>
          <w:szCs w:val="32"/>
        </w:rPr>
        <w:t>（一）绩效评价目的、对象和范围。</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通过对2021年度城镇独生子女父母奖励项目开展情况和实际效果进行考核，发现项目实施中存在的问题，提出解决问题的意见和建议，及时总结经验，规范项目管理，提高组织化程度，保证项目资金安全和发挥效益，关爱独生子女父母，促进家庭社会和谐。</w:t>
      </w:r>
    </w:p>
    <w:p>
      <w:pPr>
        <w:spacing w:line="600" w:lineRule="exact"/>
        <w:ind w:firstLine="643" w:firstLineChars="200"/>
        <w:outlineLvl w:val="0"/>
        <w:rPr>
          <w:rFonts w:ascii="楷体" w:hAnsi="楷体" w:eastAsia="楷体" w:cs="楷体_GB2312"/>
          <w:b/>
          <w:color w:val="000000"/>
          <w:sz w:val="32"/>
          <w:szCs w:val="32"/>
        </w:rPr>
      </w:pPr>
      <w:r>
        <w:rPr>
          <w:rFonts w:hint="eastAsia" w:ascii="楷体" w:hAnsi="楷体" w:eastAsia="楷体" w:cs="楷体_GB2312"/>
          <w:b/>
          <w:color w:val="000000"/>
          <w:sz w:val="32"/>
          <w:szCs w:val="32"/>
        </w:rPr>
        <w:t>（二）绩效评价原则、评价指标体系（附表说明）、评价方法、评价标准等。</w:t>
      </w:r>
    </w:p>
    <w:p>
      <w:pPr>
        <w:adjustRightInd w:val="0"/>
        <w:spacing w:line="580" w:lineRule="exact"/>
        <w:ind w:firstLine="562" w:firstLineChars="200"/>
        <w:contextualSpacing/>
        <w:rPr>
          <w:rFonts w:ascii="仿宋" w:hAnsi="仿宋" w:eastAsia="仿宋"/>
          <w:sz w:val="32"/>
          <w:szCs w:val="32"/>
        </w:rPr>
      </w:pPr>
      <w:r>
        <w:rPr>
          <w:rFonts w:hint="eastAsia" w:ascii="楷体_GB2312" w:eastAsia="楷体_GB2312"/>
          <w:b/>
          <w:color w:val="000000"/>
          <w:sz w:val="28"/>
          <w:szCs w:val="28"/>
        </w:rPr>
        <w:t>绩效评价原则：</w:t>
      </w:r>
      <w:r>
        <w:rPr>
          <w:rFonts w:hint="eastAsia" w:ascii="仿宋" w:hAnsi="仿宋" w:eastAsia="仿宋"/>
          <w:sz w:val="32"/>
          <w:szCs w:val="32"/>
        </w:rPr>
        <w:t>坚持客观、真实、公平、公正原则，坚持一个标准、一样尺度，科学反映社区公共卫生服务的过程、结果和投入产出情况，准确评价单位落实爱卫工作的数量、质量和效果。</w:t>
      </w:r>
    </w:p>
    <w:p>
      <w:pPr>
        <w:adjustRightInd w:val="0"/>
        <w:spacing w:line="580" w:lineRule="exact"/>
        <w:ind w:firstLine="562" w:firstLineChars="200"/>
        <w:contextualSpacing/>
        <w:rPr>
          <w:rFonts w:ascii="仿宋" w:hAnsi="仿宋" w:eastAsia="仿宋"/>
          <w:sz w:val="32"/>
          <w:szCs w:val="32"/>
        </w:rPr>
      </w:pPr>
      <w:r>
        <w:rPr>
          <w:rFonts w:hint="eastAsia" w:ascii="楷体_GB2312" w:eastAsia="楷体_GB2312"/>
          <w:b/>
          <w:color w:val="000000"/>
          <w:sz w:val="28"/>
          <w:szCs w:val="28"/>
        </w:rPr>
        <w:t>评价指标体系：</w:t>
      </w:r>
      <w:r>
        <w:rPr>
          <w:rFonts w:hint="eastAsia" w:ascii="仿宋" w:hAnsi="仿宋" w:eastAsia="仿宋"/>
          <w:sz w:val="32"/>
          <w:szCs w:val="32"/>
        </w:rPr>
        <w:t>根据绩效评价的基本原理、原则和项目特点，结合财政部《预算绩效评价共性指标体系框架》等文件精神及项目的具体特点，设置了绩效评价指标，一级指标5项，二级指标12项、三级指标18项。包括决策指标（绩效目标、资金投入）、过程指标（资金管理、组织实施）、产出指标（产出数量、产出质量、产出时效、产出成本）、效益指标（社会效益、可持续影响）、满意度指标（服务对象满意度指标）。</w:t>
      </w:r>
    </w:p>
    <w:p>
      <w:pPr>
        <w:spacing w:line="520" w:lineRule="exact"/>
        <w:ind w:firstLine="3520" w:firstLineChars="1100"/>
        <w:rPr>
          <w:rFonts w:ascii="方正小标宋简体" w:hAnsi="宋体" w:eastAsia="方正小标宋简体" w:cs="Arial"/>
          <w:bCs/>
          <w:color w:val="000000"/>
          <w:sz w:val="32"/>
          <w:szCs w:val="32"/>
        </w:rPr>
      </w:pPr>
      <w:r>
        <w:rPr>
          <w:rFonts w:ascii="方正小标宋简体" w:hAnsi="宋体" w:eastAsia="方正小标宋简体" w:cs="Arial"/>
          <w:bCs/>
          <w:color w:val="000000"/>
          <w:sz w:val="32"/>
          <w:szCs w:val="32"/>
        </w:rPr>
        <w:t>评价指标体系</w:t>
      </w:r>
    </w:p>
    <w:tbl>
      <w:tblPr>
        <w:tblStyle w:val="6"/>
        <w:tblW w:w="486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1146"/>
        <w:gridCol w:w="1314"/>
        <w:gridCol w:w="513"/>
        <w:gridCol w:w="4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907"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598"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686"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268"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2541"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restart"/>
            <w:shd w:val="clear" w:color="auto" w:fill="FFFFFF"/>
            <w:vAlign w:val="center"/>
          </w:tcPr>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决策（15分）</w:t>
            </w:r>
          </w:p>
        </w:tc>
        <w:tc>
          <w:tcPr>
            <w:tcW w:w="598"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　</w:t>
            </w:r>
          </w:p>
          <w:p>
            <w:pPr>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2541" w:type="pct"/>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①项目是否有绩效目标；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②项目绩效目标与实际工作内容是否具有相关性；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③项目预期产出效益和效果是否符合正常的业绩水平；</w:t>
            </w:r>
          </w:p>
          <w:p>
            <w:pPr>
              <w:widowControl/>
              <w:spacing w:line="240" w:lineRule="exact"/>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④是否与预算确定的项目投资额或资金量相匹配。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明确性</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2541" w:type="pct"/>
            <w:shd w:val="clear" w:color="000000" w:fill="FFFFFF"/>
            <w:vAlign w:val="center"/>
          </w:tcPr>
          <w:p>
            <w:pPr>
              <w:pStyle w:val="10"/>
              <w:widowControl/>
              <w:spacing w:line="240" w:lineRule="exact"/>
              <w:ind w:left="360" w:firstLine="0" w:firstLineChars="0"/>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①是否将项目绩效目标细化分解为具体的绩效指标；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②是否通过清晰、可衡量的指标值予以体现；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③是否与项目目标任务数或计划数相对应。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98"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p>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科学性</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2541" w:type="pct"/>
            <w:shd w:val="clear" w:color="auto" w:fill="FFFFFF"/>
            <w:vAlign w:val="center"/>
          </w:tcPr>
          <w:p>
            <w:pPr>
              <w:widowControl/>
              <w:spacing w:line="240" w:lineRule="exact"/>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①预算编制是否经过科学论证；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②预算内容与项目内容是否匹配；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③预算额度测算依据是否充分，是否按照标准编制；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④预算确定的项目投资额或资金量是否与工作任务相匹配。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资金分配</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541" w:type="pct"/>
            <w:shd w:val="clear" w:color="auto" w:fill="FFFFFF"/>
            <w:vAlign w:val="center"/>
          </w:tcPr>
          <w:p>
            <w:pPr>
              <w:pStyle w:val="10"/>
              <w:widowControl/>
              <w:numPr>
                <w:ilvl w:val="0"/>
                <w:numId w:val="4"/>
              </w:numPr>
              <w:spacing w:line="240" w:lineRule="exact"/>
              <w:ind w:firstLineChars="0"/>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算资金分配依据是否充分；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②资金分配额度是否合理，与项目单位或地方实际是否相适应。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restart"/>
            <w:shd w:val="clear" w:color="auto" w:fill="FFFFFF"/>
            <w:vAlign w:val="center"/>
          </w:tcPr>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过程（15分）</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98"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p>
            <w:pPr>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541" w:type="pct"/>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资金到位率=（实际到位资金/预算资金）×100%。</w:t>
            </w:r>
          </w:p>
          <w:p>
            <w:pPr>
              <w:widowControl/>
              <w:spacing w:line="240" w:lineRule="exact"/>
              <w:jc w:val="left"/>
              <w:rPr>
                <w:rFonts w:ascii="方正书宋简体" w:hAnsi="黑体" w:eastAsia="方正书宋简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98"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541" w:type="pct"/>
            <w:shd w:val="clear" w:color="auto" w:fill="FFFFFF"/>
            <w:vAlign w:val="center"/>
          </w:tcPr>
          <w:p>
            <w:pPr>
              <w:widowControl/>
              <w:spacing w:line="240" w:lineRule="exact"/>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算执行率=（实际支出资金/实际到位资金）×100%。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98"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5"/>
                <w:szCs w:val="15"/>
              </w:rPr>
            </w:pPr>
            <w:r>
              <w:rPr>
                <w:rFonts w:hint="eastAsia" w:ascii="方正书宋简体" w:hAnsi="黑体" w:eastAsia="方正书宋简体" w:cs="宋体"/>
                <w:color w:val="000000"/>
                <w:kern w:val="0"/>
                <w:sz w:val="15"/>
                <w:szCs w:val="15"/>
              </w:rPr>
              <w:t>资金使用</w:t>
            </w:r>
          </w:p>
          <w:p>
            <w:pPr>
              <w:widowControl/>
              <w:spacing w:line="240" w:lineRule="exact"/>
              <w:jc w:val="center"/>
              <w:rPr>
                <w:rFonts w:ascii="方正书宋简体" w:hAnsi="黑体" w:eastAsia="方正书宋简体" w:cs="宋体"/>
                <w:color w:val="000000"/>
                <w:kern w:val="0"/>
                <w:sz w:val="15"/>
                <w:szCs w:val="15"/>
              </w:rPr>
            </w:pPr>
            <w:r>
              <w:rPr>
                <w:rFonts w:hint="eastAsia" w:ascii="方正书宋简体" w:hAnsi="黑体" w:eastAsia="方正书宋简体" w:cs="宋体"/>
                <w:color w:val="000000"/>
                <w:kern w:val="0"/>
                <w:sz w:val="15"/>
                <w:szCs w:val="15"/>
              </w:rPr>
              <w:t>合规性</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541" w:type="pct"/>
            <w:shd w:val="clear" w:color="000000" w:fill="FFFFFF"/>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算执行率=（实际支出资金/实际到位资金）×100%。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98"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p>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5"/>
                <w:szCs w:val="15"/>
              </w:rPr>
            </w:pPr>
            <w:r>
              <w:rPr>
                <w:rFonts w:hint="eastAsia" w:ascii="方正书宋简体" w:hAnsi="黑体" w:eastAsia="方正书宋简体" w:cs="宋体"/>
                <w:color w:val="000000"/>
                <w:kern w:val="0"/>
                <w:sz w:val="15"/>
                <w:szCs w:val="15"/>
              </w:rPr>
              <w:t>管理制度</w:t>
            </w:r>
          </w:p>
          <w:p>
            <w:pPr>
              <w:widowControl/>
              <w:spacing w:line="240" w:lineRule="exact"/>
              <w:jc w:val="center"/>
              <w:rPr>
                <w:rFonts w:ascii="方正书宋简体" w:hAnsi="黑体" w:eastAsia="方正书宋简体" w:cs="宋体"/>
                <w:color w:val="000000"/>
                <w:kern w:val="0"/>
                <w:sz w:val="15"/>
                <w:szCs w:val="15"/>
              </w:rPr>
            </w:pPr>
            <w:r>
              <w:rPr>
                <w:rFonts w:hint="eastAsia" w:ascii="方正书宋简体" w:hAnsi="黑体" w:eastAsia="方正书宋简体" w:cs="宋体"/>
                <w:color w:val="000000"/>
                <w:kern w:val="0"/>
                <w:sz w:val="15"/>
                <w:szCs w:val="15"/>
              </w:rPr>
              <w:t>健全性</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541" w:type="pct"/>
            <w:shd w:val="clear" w:color="000000" w:fill="FFFFFF"/>
            <w:vAlign w:val="center"/>
          </w:tcPr>
          <w:p>
            <w:pPr>
              <w:widowControl/>
              <w:spacing w:line="240" w:lineRule="exact"/>
              <w:jc w:val="both"/>
              <w:rPr>
                <w:rFonts w:hint="eastAsia" w:ascii="方正书宋简体" w:hAnsi="黑体" w:eastAsia="方正书宋简体" w:cs="宋体"/>
                <w:color w:val="000000"/>
                <w:kern w:val="0"/>
                <w:sz w:val="15"/>
                <w:szCs w:val="15"/>
              </w:rPr>
            </w:pPr>
            <w:r>
              <w:rPr>
                <w:rFonts w:hint="eastAsia" w:ascii="微软雅黑" w:hAnsi="微软雅黑" w:eastAsia="微软雅黑" w:cs="微软雅黑"/>
                <w:color w:val="000000"/>
                <w:kern w:val="0"/>
                <w:sz w:val="15"/>
                <w:szCs w:val="15"/>
              </w:rPr>
              <w:t>①</w:t>
            </w:r>
            <w:r>
              <w:rPr>
                <w:rFonts w:hint="eastAsia" w:ascii="方正书宋简体" w:hAnsi="黑体" w:eastAsia="方正书宋简体" w:cs="宋体"/>
                <w:color w:val="000000"/>
                <w:kern w:val="0"/>
                <w:sz w:val="15"/>
                <w:szCs w:val="15"/>
              </w:rPr>
              <w:t>否已制定或具有相应的财务和业务管理制度；</w:t>
            </w:r>
            <w:r>
              <w:rPr>
                <w:rFonts w:hint="eastAsia" w:ascii="方正书宋简体" w:hAnsi="黑体" w:eastAsia="方正书宋简体" w:cs="宋体"/>
                <w:color w:val="000000"/>
                <w:kern w:val="0"/>
                <w:sz w:val="15"/>
                <w:szCs w:val="15"/>
              </w:rPr>
              <w:br w:type="textWrapping"/>
            </w:r>
            <w:r>
              <w:rPr>
                <w:rFonts w:hint="eastAsia" w:ascii="微软雅黑" w:hAnsi="微软雅黑" w:eastAsia="微软雅黑" w:cs="微软雅黑"/>
                <w:color w:val="000000"/>
                <w:kern w:val="0"/>
                <w:sz w:val="15"/>
                <w:szCs w:val="15"/>
              </w:rPr>
              <w:t>②</w:t>
            </w:r>
            <w:r>
              <w:rPr>
                <w:rFonts w:hint="eastAsia" w:ascii="方正书宋简体" w:hAnsi="黑体" w:eastAsia="方正书宋简体" w:cs="宋体"/>
                <w:color w:val="000000"/>
                <w:kern w:val="0"/>
                <w:sz w:val="15"/>
                <w:szCs w:val="15"/>
              </w:rPr>
              <w:t>财务和业务管理制度是否合法、合规、完整。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5"/>
                <w:szCs w:val="15"/>
              </w:rPr>
            </w:pPr>
            <w:r>
              <w:rPr>
                <w:rFonts w:hint="eastAsia" w:ascii="方正书宋简体" w:hAnsi="黑体" w:eastAsia="方正书宋简体" w:cs="宋体"/>
                <w:color w:val="000000"/>
                <w:kern w:val="0"/>
                <w:sz w:val="15"/>
                <w:szCs w:val="15"/>
              </w:rPr>
              <w:t>制度执行</w:t>
            </w:r>
          </w:p>
          <w:p>
            <w:pPr>
              <w:widowControl/>
              <w:spacing w:line="240" w:lineRule="exact"/>
              <w:jc w:val="center"/>
              <w:rPr>
                <w:rFonts w:ascii="方正书宋简体" w:hAnsi="黑体" w:eastAsia="方正书宋简体" w:cs="宋体"/>
                <w:color w:val="000000"/>
                <w:kern w:val="0"/>
                <w:sz w:val="15"/>
                <w:szCs w:val="15"/>
              </w:rPr>
            </w:pPr>
            <w:r>
              <w:rPr>
                <w:rFonts w:hint="eastAsia" w:ascii="方正书宋简体" w:hAnsi="黑体" w:eastAsia="方正书宋简体" w:cs="宋体"/>
                <w:color w:val="000000"/>
                <w:kern w:val="0"/>
                <w:sz w:val="15"/>
                <w:szCs w:val="15"/>
              </w:rPr>
              <w:t>有效性</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541" w:type="pct"/>
            <w:shd w:val="clear" w:color="000000" w:fill="FFFFFF"/>
            <w:vAlign w:val="center"/>
          </w:tcPr>
          <w:p>
            <w:pPr>
              <w:widowControl/>
              <w:spacing w:line="240" w:lineRule="exact"/>
              <w:jc w:val="both"/>
              <w:rPr>
                <w:rFonts w:hint="eastAsia" w:ascii="方正书宋简体" w:hAnsi="黑体" w:eastAsia="方正书宋简体" w:cs="宋体"/>
                <w:color w:val="000000"/>
                <w:kern w:val="0"/>
                <w:sz w:val="15"/>
                <w:szCs w:val="15"/>
              </w:rPr>
            </w:pPr>
            <w:r>
              <w:rPr>
                <w:rFonts w:hint="eastAsia" w:ascii="微软雅黑" w:hAnsi="微软雅黑" w:eastAsia="微软雅黑" w:cs="微软雅黑"/>
                <w:color w:val="000000"/>
                <w:kern w:val="0"/>
                <w:sz w:val="15"/>
                <w:szCs w:val="15"/>
              </w:rPr>
              <w:t>①</w:t>
            </w:r>
            <w:r>
              <w:rPr>
                <w:rFonts w:hint="eastAsia" w:ascii="方正书宋简体" w:hAnsi="黑体" w:eastAsia="方正书宋简体" w:cs="宋体"/>
                <w:color w:val="000000"/>
                <w:kern w:val="0"/>
                <w:sz w:val="15"/>
                <w:szCs w:val="15"/>
              </w:rPr>
              <w:t>否遵守相关法律法规和相关管理规定；</w:t>
            </w:r>
            <w:r>
              <w:rPr>
                <w:rFonts w:hint="eastAsia" w:ascii="方正书宋简体" w:hAnsi="黑体" w:eastAsia="方正书宋简体" w:cs="宋体"/>
                <w:color w:val="000000"/>
                <w:kern w:val="0"/>
                <w:sz w:val="15"/>
                <w:szCs w:val="15"/>
              </w:rPr>
              <w:br w:type="textWrapping"/>
            </w:r>
            <w:r>
              <w:rPr>
                <w:rFonts w:hint="eastAsia" w:ascii="微软雅黑" w:hAnsi="微软雅黑" w:eastAsia="微软雅黑" w:cs="微软雅黑"/>
                <w:color w:val="000000"/>
                <w:kern w:val="0"/>
                <w:sz w:val="15"/>
                <w:szCs w:val="15"/>
              </w:rPr>
              <w:t>②</w:t>
            </w:r>
            <w:r>
              <w:rPr>
                <w:rFonts w:hint="eastAsia" w:ascii="方正书宋简体" w:hAnsi="黑体" w:eastAsia="方正书宋简体" w:cs="宋体"/>
                <w:color w:val="000000"/>
                <w:kern w:val="0"/>
                <w:sz w:val="15"/>
                <w:szCs w:val="15"/>
              </w:rPr>
              <w:t>项目调整及支出调整手续是否完备；</w:t>
            </w:r>
            <w:r>
              <w:rPr>
                <w:rFonts w:hint="eastAsia" w:ascii="方正书宋简体" w:hAnsi="黑体" w:eastAsia="方正书宋简体" w:cs="宋体"/>
                <w:color w:val="000000"/>
                <w:kern w:val="0"/>
                <w:sz w:val="15"/>
                <w:szCs w:val="15"/>
              </w:rPr>
              <w:br w:type="textWrapping"/>
            </w:r>
            <w:r>
              <w:rPr>
                <w:rFonts w:hint="eastAsia" w:ascii="方正书宋简体" w:hAnsi="黑体" w:eastAsia="方正书宋简体" w:cs="宋体"/>
                <w:color w:val="000000"/>
                <w:kern w:val="0"/>
                <w:sz w:val="15"/>
                <w:szCs w:val="15"/>
              </w:rPr>
              <w:t>③项目合同书、验收报告、技术鉴定等资料是否齐全并及时归档；</w:t>
            </w:r>
            <w:r>
              <w:rPr>
                <w:rFonts w:hint="eastAsia" w:ascii="方正书宋简体" w:hAnsi="黑体" w:eastAsia="方正书宋简体" w:cs="宋体"/>
                <w:color w:val="000000"/>
                <w:kern w:val="0"/>
                <w:sz w:val="15"/>
                <w:szCs w:val="15"/>
              </w:rPr>
              <w:br w:type="textWrapping"/>
            </w:r>
            <w:r>
              <w:rPr>
                <w:rFonts w:hint="eastAsia" w:ascii="方正书宋简体" w:hAnsi="黑体" w:eastAsia="方正书宋简体" w:cs="宋体"/>
                <w:color w:val="000000"/>
                <w:kern w:val="0"/>
                <w:sz w:val="15"/>
                <w:szCs w:val="15"/>
              </w:rPr>
              <w:t>④项目实施的人员条件、场地设备、信息支撑等是否落实到位。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产出（35分）</w:t>
            </w:r>
          </w:p>
        </w:tc>
        <w:tc>
          <w:tcPr>
            <w:tcW w:w="59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产出数量</w:t>
            </w:r>
          </w:p>
        </w:tc>
        <w:tc>
          <w:tcPr>
            <w:tcW w:w="686" w:type="pct"/>
            <w:shd w:val="clear" w:color="auto" w:fill="FFFFFF"/>
            <w:vAlign w:val="center"/>
          </w:tcPr>
          <w:p>
            <w:pPr>
              <w:rPr>
                <w:rFonts w:ascii="宋体" w:hAnsi="宋体" w:cs="宋体"/>
                <w:color w:val="000000"/>
                <w:sz w:val="15"/>
                <w:szCs w:val="15"/>
              </w:rPr>
            </w:pPr>
            <w:r>
              <w:rPr>
                <w:rFonts w:hint="eastAsia"/>
                <w:color w:val="000000"/>
                <w:sz w:val="15"/>
                <w:szCs w:val="15"/>
              </w:rPr>
              <w:t>发放人数</w:t>
            </w:r>
          </w:p>
        </w:tc>
        <w:tc>
          <w:tcPr>
            <w:tcW w:w="268" w:type="pct"/>
            <w:shd w:val="clear" w:color="000000" w:fill="FFFFFF"/>
            <w:vAlign w:val="center"/>
          </w:tcPr>
          <w:p>
            <w:pPr>
              <w:jc w:val="center"/>
              <w:rPr>
                <w:rFonts w:ascii="宋体" w:hAnsi="宋体" w:cs="宋体"/>
                <w:color w:val="000000"/>
                <w:sz w:val="20"/>
              </w:rPr>
            </w:pPr>
            <w:r>
              <w:rPr>
                <w:rFonts w:hint="eastAsia" w:ascii="宋体" w:hAnsi="宋体" w:cs="宋体"/>
                <w:color w:val="000000"/>
                <w:sz w:val="20"/>
              </w:rPr>
              <w:t>7</w:t>
            </w:r>
          </w:p>
        </w:tc>
        <w:tc>
          <w:tcPr>
            <w:tcW w:w="2541"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 w:val="15"/>
                <w:szCs w:val="15"/>
              </w:rPr>
              <w:t>41513人。</w:t>
            </w:r>
            <w:r>
              <w:rPr>
                <w:rFonts w:hint="eastAsia" w:ascii="宋体" w:hAnsi="宋体" w:cs="宋体"/>
                <w:color w:val="000000"/>
                <w:sz w:val="15"/>
                <w:szCs w:val="15"/>
              </w:rPr>
              <w:t>控制在正负5%内得10分，否则每10%扣2分，扣完为止。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p>
        </w:tc>
        <w:tc>
          <w:tcPr>
            <w:tcW w:w="686" w:type="pct"/>
            <w:shd w:val="clear" w:color="auto" w:fill="FFFFFF"/>
            <w:vAlign w:val="center"/>
          </w:tcPr>
          <w:p>
            <w:pPr>
              <w:rPr>
                <w:rFonts w:ascii="宋体" w:hAnsi="宋体" w:cs="宋体"/>
                <w:color w:val="000000"/>
                <w:sz w:val="15"/>
                <w:szCs w:val="15"/>
              </w:rPr>
            </w:pPr>
            <w:r>
              <w:rPr>
                <w:rFonts w:hint="eastAsia"/>
                <w:color w:val="000000"/>
                <w:sz w:val="15"/>
                <w:szCs w:val="15"/>
              </w:rPr>
              <w:t>资金发放合规性</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541" w:type="pct"/>
            <w:shd w:val="clear" w:color="000000" w:fill="FFFFFF"/>
            <w:vAlign w:val="center"/>
          </w:tcPr>
          <w:p>
            <w:pPr>
              <w:jc w:val="center"/>
              <w:rPr>
                <w:rFonts w:ascii="宋体" w:hAnsi="宋体" w:cs="宋体"/>
                <w:color w:val="000000"/>
                <w:sz w:val="20"/>
              </w:rPr>
            </w:pPr>
            <w:r>
              <w:rPr>
                <w:rFonts w:hint="eastAsia" w:ascii="宋体" w:hAnsi="宋体" w:cs="宋体"/>
                <w:color w:val="000000"/>
                <w:sz w:val="18"/>
                <w:szCs w:val="18"/>
              </w:rPr>
              <w:t>发放对象符合政策规定。否则有一例不符合政策规定得0分。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686" w:type="pct"/>
            <w:shd w:val="clear" w:color="auto" w:fill="FFFFFF"/>
            <w:vAlign w:val="center"/>
          </w:tcPr>
          <w:p>
            <w:pPr>
              <w:rPr>
                <w:color w:val="000000"/>
                <w:sz w:val="15"/>
                <w:szCs w:val="15"/>
              </w:rPr>
            </w:pPr>
            <w:r>
              <w:rPr>
                <w:rFonts w:hint="eastAsia"/>
                <w:color w:val="000000"/>
                <w:sz w:val="15"/>
                <w:szCs w:val="15"/>
              </w:rPr>
              <w:t>奖励资金发放到位率</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541" w:type="pct"/>
            <w:shd w:val="clear" w:color="000000" w:fill="FFFFFF"/>
            <w:vAlign w:val="center"/>
          </w:tcPr>
          <w:p>
            <w:pPr>
              <w:jc w:val="center"/>
              <w:rPr>
                <w:rFonts w:ascii="宋体" w:hAnsi="宋体" w:cs="宋体"/>
                <w:color w:val="000000"/>
                <w:sz w:val="15"/>
                <w:szCs w:val="15"/>
              </w:rPr>
            </w:pPr>
            <w:r>
              <w:rPr>
                <w:rFonts w:hint="eastAsia" w:ascii="宋体" w:hAnsi="宋体" w:cs="宋体"/>
                <w:color w:val="000000"/>
                <w:sz w:val="15"/>
                <w:szCs w:val="15"/>
              </w:rPr>
              <w:t>100%。到位率100%得5分，否则每低1%扣2分，扣完为止。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98" w:type="pct"/>
            <w:shd w:val="clear" w:color="auto" w:fill="FFFFFF"/>
            <w:vAlign w:val="center"/>
          </w:tcPr>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产出时效</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5"/>
                <w:szCs w:val="15"/>
              </w:rPr>
            </w:pPr>
            <w:r>
              <w:rPr>
                <w:rFonts w:hint="eastAsia" w:ascii="方正书宋简体" w:hAnsi="黑体" w:eastAsia="方正书宋简体" w:cs="宋体"/>
                <w:color w:val="000000"/>
                <w:kern w:val="0"/>
                <w:sz w:val="15"/>
                <w:szCs w:val="15"/>
              </w:rPr>
              <w:t>完成及时率</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541" w:type="pct"/>
            <w:shd w:val="clear" w:color="000000" w:fill="FFFFFF"/>
            <w:vAlign w:val="center"/>
          </w:tcPr>
          <w:p>
            <w:pPr>
              <w:widowControl/>
              <w:spacing w:line="360" w:lineRule="auto"/>
              <w:jc w:val="center"/>
              <w:rPr>
                <w:rFonts w:ascii="方正书宋简体" w:hAnsi="黑体" w:eastAsia="方正书宋简体" w:cs="宋体"/>
                <w:color w:val="000000"/>
                <w:kern w:val="0"/>
                <w:sz w:val="15"/>
                <w:szCs w:val="15"/>
              </w:rPr>
            </w:pPr>
            <w:r>
              <w:rPr>
                <w:rFonts w:hint="eastAsia" w:ascii="宋体" w:hAnsi="宋体" w:cs="宋体"/>
                <w:color w:val="000000"/>
                <w:sz w:val="13"/>
                <w:szCs w:val="13"/>
              </w:rPr>
              <w:t>完成及时率100%得10分，否则每延迟1天扣1分，以此类推，扣完为止。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8"/>
                <w:szCs w:val="18"/>
              </w:rPr>
            </w:pPr>
            <w:r>
              <w:rPr>
                <w:rFonts w:hint="eastAsia" w:ascii="方正书宋简体" w:hAnsi="黑体" w:eastAsia="方正书宋简体" w:cs="宋体"/>
                <w:color w:val="000000"/>
                <w:kern w:val="0"/>
                <w:sz w:val="18"/>
                <w:szCs w:val="18"/>
              </w:rPr>
              <w:t>财政补助金额</w:t>
            </w:r>
          </w:p>
        </w:tc>
        <w:tc>
          <w:tcPr>
            <w:tcW w:w="268"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541" w:type="pct"/>
            <w:shd w:val="clear" w:color="000000" w:fill="FFFFFF"/>
            <w:vAlign w:val="center"/>
          </w:tcPr>
          <w:p>
            <w:pPr>
              <w:widowControl/>
              <w:spacing w:line="240" w:lineRule="exact"/>
              <w:jc w:val="center"/>
              <w:rPr>
                <w:rFonts w:ascii="方正书宋简体" w:hAnsi="黑体" w:eastAsia="方正书宋简体" w:cs="宋体"/>
                <w:color w:val="000000"/>
                <w:kern w:val="0"/>
                <w:sz w:val="15"/>
                <w:szCs w:val="15"/>
              </w:rPr>
            </w:pPr>
            <w:r>
              <w:rPr>
                <w:rFonts w:hint="eastAsia" w:ascii="宋体" w:hAnsi="宋体" w:cs="宋体"/>
                <w:color w:val="000000"/>
                <w:kern w:val="0"/>
                <w:sz w:val="15"/>
                <w:szCs w:val="15"/>
              </w:rPr>
              <w:t>4898.5</w:t>
            </w:r>
            <w:r>
              <w:rPr>
                <w:rFonts w:hint="eastAsia" w:ascii="方正书宋简体" w:hAnsi="黑体" w:eastAsia="方正书宋简体" w:cs="宋体"/>
                <w:color w:val="000000"/>
                <w:kern w:val="0"/>
                <w:sz w:val="15"/>
                <w:szCs w:val="15"/>
              </w:rPr>
              <w:t>万元。</w:t>
            </w:r>
            <w:r>
              <w:rPr>
                <w:rFonts w:hint="eastAsia" w:ascii="宋体" w:hAnsi="宋体" w:cs="宋体"/>
                <w:color w:val="000000"/>
                <w:sz w:val="15"/>
                <w:szCs w:val="15"/>
              </w:rPr>
              <w:t>控制在正负5%内得10分，否则每10%扣2分，扣完为止。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效益（25分）　</w:t>
            </w:r>
          </w:p>
        </w:tc>
        <w:tc>
          <w:tcPr>
            <w:tcW w:w="59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经济效益　</w:t>
            </w:r>
          </w:p>
        </w:tc>
        <w:tc>
          <w:tcPr>
            <w:tcW w:w="686" w:type="pct"/>
            <w:shd w:val="clear" w:color="auto" w:fill="FFFFFF"/>
            <w:vAlign w:val="center"/>
          </w:tcPr>
          <w:p>
            <w:pPr>
              <w:widowControl/>
              <w:spacing w:line="240" w:lineRule="exact"/>
              <w:jc w:val="lef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 w:val="15"/>
                <w:szCs w:val="15"/>
              </w:rPr>
              <w:t>缓解奖励对象家庭经济压力</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w:t>
            </w:r>
          </w:p>
        </w:tc>
        <w:tc>
          <w:tcPr>
            <w:tcW w:w="2541"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ascii="方正书宋简体" w:hAnsi="黑体" w:eastAsia="方正书宋简体" w:cs="宋体"/>
                <w:color w:val="000000"/>
                <w:kern w:val="0"/>
                <w:szCs w:val="21"/>
              </w:rPr>
              <w:t>有一定效果。否则得</w:t>
            </w:r>
            <w:r>
              <w:rPr>
                <w:rFonts w:hint="eastAsia" w:ascii="方正书宋简体" w:hAnsi="黑体" w:eastAsia="方正书宋简体" w:cs="宋体"/>
                <w:color w:val="000000"/>
                <w:kern w:val="0"/>
                <w:szCs w:val="21"/>
              </w:rPr>
              <w:t>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社会效益</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3"/>
                <w:szCs w:val="13"/>
              </w:rPr>
            </w:pPr>
            <w:r>
              <w:rPr>
                <w:rFonts w:hint="eastAsia" w:ascii="方正书宋简体" w:hAnsi="黑体" w:eastAsia="方正书宋简体" w:cs="宋体"/>
                <w:color w:val="000000"/>
                <w:kern w:val="0"/>
                <w:sz w:val="13"/>
                <w:szCs w:val="13"/>
              </w:rPr>
              <w:t>奖励政策宣传到位</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c>
          <w:tcPr>
            <w:tcW w:w="2541" w:type="pct"/>
            <w:shd w:val="clear" w:color="auto" w:fill="FFFFFF"/>
            <w:vAlign w:val="center"/>
          </w:tcPr>
          <w:p>
            <w:pPr>
              <w:widowControl/>
              <w:spacing w:line="360" w:lineRule="auto"/>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4次。每少一次扣1分，扣完为止。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生态效益</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3"/>
                <w:szCs w:val="13"/>
              </w:rPr>
            </w:pPr>
            <w:r>
              <w:rPr>
                <w:rFonts w:ascii="方正书宋简体" w:hAnsi="黑体" w:eastAsia="方正书宋简体" w:cs="宋体"/>
                <w:color w:val="000000"/>
                <w:kern w:val="0"/>
                <w:sz w:val="13"/>
                <w:szCs w:val="13"/>
              </w:rPr>
              <w:t>无</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541"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9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可持续效益</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3"/>
                <w:szCs w:val="13"/>
              </w:rPr>
            </w:pPr>
            <w:r>
              <w:rPr>
                <w:rFonts w:hint="eastAsia" w:ascii="方正书宋简体" w:hAnsi="黑体" w:eastAsia="方正书宋简体" w:cs="宋体"/>
                <w:color w:val="000000"/>
                <w:kern w:val="0"/>
                <w:sz w:val="13"/>
                <w:szCs w:val="13"/>
              </w:rPr>
              <w:t>奖励政策每年持续性</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c>
          <w:tcPr>
            <w:tcW w:w="2541"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每年持续进行。否则得0分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907" w:type="pct"/>
            <w:shd w:val="clear" w:color="auto" w:fill="FFFFFF"/>
            <w:vAlign w:val="center"/>
          </w:tcPr>
          <w:p>
            <w:pPr>
              <w:widowControl/>
              <w:spacing w:line="240" w:lineRule="exact"/>
              <w:jc w:val="center"/>
              <w:rPr>
                <w:rFonts w:ascii="方正书宋简体" w:hAnsi="黑体" w:eastAsia="方正书宋简体" w:cs="宋体"/>
                <w:color w:val="000000"/>
                <w:kern w:val="0"/>
                <w:sz w:val="18"/>
                <w:szCs w:val="18"/>
              </w:rPr>
            </w:pPr>
            <w:r>
              <w:rPr>
                <w:rFonts w:hint="eastAsia" w:ascii="方正书宋简体" w:hAnsi="黑体" w:eastAsia="方正书宋简体" w:cs="宋体"/>
                <w:color w:val="000000"/>
                <w:kern w:val="0"/>
                <w:sz w:val="18"/>
                <w:szCs w:val="18"/>
              </w:rPr>
              <w:t>满意度（10分）</w:t>
            </w:r>
          </w:p>
        </w:tc>
        <w:tc>
          <w:tcPr>
            <w:tcW w:w="59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p>
        </w:tc>
        <w:tc>
          <w:tcPr>
            <w:tcW w:w="686" w:type="pct"/>
            <w:shd w:val="clear" w:color="auto" w:fill="FFFFFF"/>
            <w:vAlign w:val="center"/>
          </w:tcPr>
          <w:p>
            <w:pPr>
              <w:widowControl/>
              <w:spacing w:line="240" w:lineRule="exact"/>
              <w:jc w:val="center"/>
              <w:rPr>
                <w:rFonts w:ascii="方正书宋简体" w:hAnsi="黑体" w:eastAsia="方正书宋简体" w:cs="宋体"/>
                <w:color w:val="000000"/>
                <w:kern w:val="0"/>
                <w:sz w:val="13"/>
                <w:szCs w:val="13"/>
              </w:rPr>
            </w:pPr>
            <w:r>
              <w:rPr>
                <w:rFonts w:hint="eastAsia" w:ascii="方正书宋简体" w:hAnsi="黑体" w:eastAsia="方正书宋简体" w:cs="宋体"/>
                <w:color w:val="000000"/>
                <w:kern w:val="0"/>
                <w:sz w:val="13"/>
                <w:szCs w:val="13"/>
              </w:rPr>
              <w:t>服务对象满意度（%）</w:t>
            </w:r>
          </w:p>
        </w:tc>
        <w:tc>
          <w:tcPr>
            <w:tcW w:w="26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c>
          <w:tcPr>
            <w:tcW w:w="2541"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90%。</w:t>
            </w:r>
            <w:r>
              <w:rPr>
                <w:rFonts w:hint="eastAsia" w:ascii="宋体" w:hAnsi="宋体" w:cs="宋体"/>
                <w:color w:val="000000"/>
                <w:sz w:val="18"/>
                <w:szCs w:val="18"/>
              </w:rPr>
              <w:t>≧90%得10分，否则每低5%扣1分，以此类推，扣完为止。</w:t>
            </w:r>
          </w:p>
        </w:tc>
      </w:tr>
    </w:tbl>
    <w:p>
      <w:pPr>
        <w:spacing w:line="600" w:lineRule="exact"/>
        <w:ind w:firstLine="562" w:firstLineChars="200"/>
        <w:outlineLvl w:val="0"/>
        <w:rPr>
          <w:rFonts w:ascii="楷体_GB2312" w:eastAsia="楷体_GB2312"/>
          <w:color w:val="000000"/>
          <w:sz w:val="30"/>
          <w:szCs w:val="30"/>
        </w:rPr>
      </w:pPr>
      <w:r>
        <w:rPr>
          <w:rFonts w:hint="eastAsia" w:ascii="楷体_GB2312" w:eastAsia="楷体_GB2312"/>
          <w:b/>
          <w:color w:val="000000"/>
          <w:sz w:val="28"/>
          <w:szCs w:val="28"/>
        </w:rPr>
        <w:t>评价方法：</w:t>
      </w:r>
      <w:r>
        <w:rPr>
          <w:rFonts w:hint="eastAsia" w:ascii="仿宋" w:hAnsi="仿宋" w:eastAsia="仿宋"/>
          <w:sz w:val="32"/>
          <w:szCs w:val="32"/>
        </w:rPr>
        <w:t>采用用因素分析法、数据对比法、自查、抽查和公众评判法。</w:t>
      </w:r>
    </w:p>
    <w:p>
      <w:pPr>
        <w:spacing w:line="600" w:lineRule="exact"/>
        <w:ind w:firstLine="562" w:firstLineChars="200"/>
        <w:outlineLvl w:val="0"/>
        <w:rPr>
          <w:rFonts w:ascii="仿宋" w:hAnsi="仿宋" w:eastAsia="仿宋"/>
          <w:sz w:val="32"/>
          <w:szCs w:val="32"/>
        </w:rPr>
      </w:pPr>
      <w:r>
        <w:rPr>
          <w:rFonts w:ascii="楷体_GB2312" w:eastAsia="楷体_GB2312"/>
          <w:b/>
          <w:color w:val="000000"/>
          <w:sz w:val="28"/>
          <w:szCs w:val="28"/>
        </w:rPr>
        <w:t>评价标准：</w:t>
      </w:r>
      <w:r>
        <w:rPr>
          <w:rFonts w:hint="eastAsia" w:ascii="仿宋" w:hAnsi="仿宋" w:eastAsia="仿宋"/>
          <w:sz w:val="32"/>
          <w:szCs w:val="32"/>
        </w:rPr>
        <w:t>主要有计划标准，行业标准，历史标准，经验标准，考核标准等。</w:t>
      </w:r>
    </w:p>
    <w:p>
      <w:pPr>
        <w:spacing w:line="600" w:lineRule="exact"/>
        <w:ind w:firstLine="643" w:firstLineChars="200"/>
        <w:rPr>
          <w:rFonts w:ascii="楷体" w:hAnsi="楷体" w:eastAsia="楷体" w:cs="楷体_GB2312"/>
          <w:b/>
          <w:color w:val="000000"/>
          <w:sz w:val="32"/>
          <w:szCs w:val="32"/>
        </w:rPr>
      </w:pPr>
      <w:r>
        <w:rPr>
          <w:rFonts w:hint="eastAsia" w:ascii="楷体" w:hAnsi="楷体" w:eastAsia="楷体" w:cs="楷体_GB2312"/>
          <w:b/>
          <w:color w:val="000000"/>
          <w:sz w:val="32"/>
          <w:szCs w:val="32"/>
        </w:rPr>
        <w:t>（三）绩效评价工作过程。</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根据南昌市西湖区财政局《西湖区财政局关于开展2021年度预算绩效管理有关工作的通知》（西财字﹝2022﹞12号）的要求，成立项目绩效评价工作小组，具体实施项目资金绩效评价工作：</w:t>
      </w:r>
    </w:p>
    <w:p>
      <w:pPr>
        <w:spacing w:line="580" w:lineRule="exact"/>
        <w:ind w:firstLine="640" w:firstLineChars="200"/>
        <w:rPr>
          <w:rFonts w:ascii="仿宋" w:hAnsi="仿宋" w:eastAsia="仿宋"/>
          <w:sz w:val="32"/>
          <w:szCs w:val="32"/>
        </w:rPr>
      </w:pPr>
      <w:r>
        <w:rPr>
          <w:rFonts w:ascii="仿宋" w:hAnsi="仿宋" w:eastAsia="仿宋"/>
          <w:sz w:val="32"/>
          <w:szCs w:val="32"/>
        </w:rPr>
        <w:t>1.制定项目绩效</w:t>
      </w:r>
      <w:r>
        <w:rPr>
          <w:rFonts w:hint="eastAsia" w:ascii="仿宋" w:hAnsi="仿宋" w:eastAsia="仿宋"/>
          <w:sz w:val="32"/>
          <w:szCs w:val="32"/>
        </w:rPr>
        <w:t>评价</w:t>
      </w:r>
      <w:r>
        <w:rPr>
          <w:rFonts w:ascii="仿宋" w:hAnsi="仿宋" w:eastAsia="仿宋"/>
          <w:sz w:val="32"/>
          <w:szCs w:val="32"/>
        </w:rPr>
        <w:t>工作方案，包括项目绩效</w:t>
      </w:r>
      <w:r>
        <w:rPr>
          <w:rFonts w:hint="eastAsia" w:ascii="仿宋" w:hAnsi="仿宋" w:eastAsia="仿宋"/>
          <w:sz w:val="32"/>
          <w:szCs w:val="32"/>
        </w:rPr>
        <w:t>评价</w:t>
      </w:r>
      <w:r>
        <w:rPr>
          <w:rFonts w:ascii="仿宋" w:hAnsi="仿宋" w:eastAsia="仿宋"/>
          <w:sz w:val="32"/>
          <w:szCs w:val="32"/>
        </w:rPr>
        <w:t>实施方案、指标体系及标准、调查问卷、基础数据表、绩效</w:t>
      </w:r>
      <w:r>
        <w:rPr>
          <w:rFonts w:hint="eastAsia" w:ascii="仿宋" w:hAnsi="仿宋" w:eastAsia="仿宋"/>
          <w:sz w:val="32"/>
          <w:szCs w:val="32"/>
        </w:rPr>
        <w:t>评价</w:t>
      </w:r>
      <w:r>
        <w:rPr>
          <w:rFonts w:ascii="仿宋" w:hAnsi="仿宋" w:eastAsia="仿宋"/>
          <w:sz w:val="32"/>
          <w:szCs w:val="32"/>
        </w:rPr>
        <w:t>资料清单等。</w:t>
      </w:r>
    </w:p>
    <w:p>
      <w:pPr>
        <w:spacing w:line="580" w:lineRule="exact"/>
        <w:ind w:firstLine="640" w:firstLineChars="200"/>
        <w:rPr>
          <w:rFonts w:ascii="仿宋" w:hAnsi="仿宋" w:eastAsia="仿宋"/>
          <w:sz w:val="32"/>
          <w:szCs w:val="32"/>
        </w:rPr>
      </w:pPr>
      <w:r>
        <w:rPr>
          <w:rFonts w:ascii="仿宋" w:hAnsi="仿宋" w:eastAsia="仿宋"/>
          <w:sz w:val="32"/>
          <w:szCs w:val="32"/>
        </w:rPr>
        <w:t>2.根据制定的项目资金绩效</w:t>
      </w:r>
      <w:r>
        <w:rPr>
          <w:rFonts w:hint="eastAsia" w:ascii="仿宋" w:hAnsi="仿宋" w:eastAsia="仿宋"/>
          <w:sz w:val="32"/>
          <w:szCs w:val="32"/>
        </w:rPr>
        <w:t>评价</w:t>
      </w:r>
      <w:r>
        <w:rPr>
          <w:rFonts w:ascii="仿宋" w:hAnsi="仿宋" w:eastAsia="仿宋"/>
          <w:sz w:val="32"/>
          <w:szCs w:val="32"/>
        </w:rPr>
        <w:t>工作方案，收集项目支出情况材料，前往项目实施地，通过现场查看方法进行绩效</w:t>
      </w:r>
      <w:r>
        <w:rPr>
          <w:rFonts w:hint="eastAsia" w:ascii="仿宋" w:hAnsi="仿宋" w:eastAsia="仿宋"/>
          <w:sz w:val="32"/>
          <w:szCs w:val="32"/>
        </w:rPr>
        <w:t>评价</w:t>
      </w:r>
      <w:r>
        <w:rPr>
          <w:rFonts w:ascii="仿宋" w:hAnsi="仿宋" w:eastAsia="仿宋"/>
          <w:sz w:val="32"/>
          <w:szCs w:val="32"/>
        </w:rPr>
        <w:t>。包括收集、审核基础资料</w:t>
      </w:r>
      <w:r>
        <w:rPr>
          <w:rFonts w:hint="eastAsia" w:ascii="仿宋" w:hAnsi="仿宋" w:eastAsia="仿宋"/>
          <w:sz w:val="32"/>
          <w:szCs w:val="32"/>
        </w:rPr>
        <w:t>，</w:t>
      </w:r>
      <w:r>
        <w:rPr>
          <w:rFonts w:ascii="仿宋" w:hAnsi="仿宋" w:eastAsia="仿宋"/>
          <w:sz w:val="32"/>
          <w:szCs w:val="32"/>
        </w:rPr>
        <w:t>开展现场核查，核实项目项目实施情况是否良好</w:t>
      </w:r>
      <w:r>
        <w:rPr>
          <w:rFonts w:hint="eastAsia" w:ascii="仿宋" w:hAnsi="仿宋" w:eastAsia="仿宋"/>
          <w:sz w:val="32"/>
          <w:szCs w:val="32"/>
        </w:rPr>
        <w:t>，</w:t>
      </w:r>
      <w:r>
        <w:rPr>
          <w:rFonts w:ascii="仿宋" w:hAnsi="仿宋" w:eastAsia="仿宋"/>
          <w:sz w:val="32"/>
          <w:szCs w:val="32"/>
        </w:rPr>
        <w:t>对收集的证据运用科学的方法进行综合分析。</w:t>
      </w:r>
    </w:p>
    <w:p>
      <w:pPr>
        <w:spacing w:line="580" w:lineRule="exact"/>
        <w:ind w:firstLine="640" w:firstLineChars="200"/>
        <w:rPr>
          <w:rFonts w:ascii="仿宋" w:hAnsi="仿宋" w:eastAsia="仿宋"/>
          <w:sz w:val="32"/>
          <w:szCs w:val="32"/>
        </w:rPr>
      </w:pPr>
      <w:r>
        <w:rPr>
          <w:rFonts w:ascii="仿宋" w:hAnsi="仿宋" w:eastAsia="仿宋"/>
          <w:sz w:val="32"/>
          <w:szCs w:val="32"/>
        </w:rPr>
        <w:t>3.根据分析后的情况，形成</w:t>
      </w:r>
      <w:r>
        <w:rPr>
          <w:rFonts w:hint="eastAsia" w:ascii="仿宋" w:hAnsi="仿宋" w:eastAsia="仿宋"/>
          <w:sz w:val="32"/>
          <w:szCs w:val="32"/>
        </w:rPr>
        <w:t>评价</w:t>
      </w:r>
      <w:r>
        <w:rPr>
          <w:rFonts w:ascii="仿宋" w:hAnsi="仿宋" w:eastAsia="仿宋"/>
          <w:sz w:val="32"/>
          <w:szCs w:val="32"/>
        </w:rPr>
        <w:t>结果。</w:t>
      </w:r>
    </w:p>
    <w:p>
      <w:pPr>
        <w:spacing w:line="600" w:lineRule="exact"/>
        <w:ind w:firstLine="656" w:firstLineChars="200"/>
        <w:rPr>
          <w:rFonts w:ascii="楷体" w:hAnsi="楷体" w:eastAsia="楷体"/>
          <w:b/>
          <w:color w:val="000000"/>
          <w:sz w:val="32"/>
          <w:szCs w:val="32"/>
        </w:rPr>
      </w:pPr>
      <w:r>
        <w:rPr>
          <w:rFonts w:hint="eastAsia" w:ascii="黑体" w:hAnsi="黑体" w:eastAsia="黑体"/>
          <w:color w:val="000000"/>
          <w:spacing w:val="4"/>
          <w:sz w:val="32"/>
          <w:szCs w:val="32"/>
        </w:rPr>
        <w:t>三、综合评价情况及评价结论</w:t>
      </w:r>
      <w:r>
        <w:rPr>
          <w:rFonts w:hint="eastAsia" w:ascii="楷体" w:hAnsi="楷体" w:eastAsia="楷体"/>
          <w:b/>
          <w:color w:val="000000"/>
          <w:sz w:val="32"/>
          <w:szCs w:val="32"/>
        </w:rPr>
        <w:t>（附相关评分表）</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评价组围绕绩效评价指标体系，通过数据采集分析，财务核查、实地核查及深度访谈等方式，对该项目绩效进行了客观、公正、合理、有效的评价，最终评价结果为 9</w:t>
      </w:r>
      <w:r>
        <w:rPr>
          <w:rFonts w:hint="eastAsia" w:ascii="仿宋" w:hAnsi="仿宋" w:eastAsia="仿宋"/>
          <w:sz w:val="32"/>
          <w:szCs w:val="32"/>
          <w:lang w:val="en-US" w:eastAsia="zh-CN"/>
        </w:rPr>
        <w:t>5</w:t>
      </w:r>
      <w:r>
        <w:rPr>
          <w:rFonts w:hint="eastAsia" w:ascii="仿宋" w:hAnsi="仿宋" w:eastAsia="仿宋"/>
          <w:sz w:val="32"/>
          <w:szCs w:val="32"/>
        </w:rPr>
        <w:t xml:space="preserve"> 分，依据财政绩效评价等级划分，本项目绩效评价等级为“优”。</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四、绩效评价指标分析</w:t>
      </w:r>
    </w:p>
    <w:p>
      <w:pPr>
        <w:spacing w:line="600" w:lineRule="exact"/>
        <w:ind w:firstLine="562" w:firstLineChars="200"/>
        <w:outlineLvl w:val="0"/>
        <w:rPr>
          <w:rFonts w:hint="eastAsia" w:ascii="仿宋" w:hAnsi="仿宋" w:eastAsia="仿宋"/>
          <w:sz w:val="32"/>
          <w:szCs w:val="32"/>
        </w:rPr>
      </w:pPr>
      <w:r>
        <w:rPr>
          <w:rFonts w:hint="eastAsia" w:ascii="楷体_GB2312" w:eastAsia="楷体_GB2312"/>
          <w:b/>
          <w:color w:val="000000"/>
          <w:sz w:val="28"/>
          <w:szCs w:val="28"/>
        </w:rPr>
        <w:t>（一）项目决策情况。</w:t>
      </w:r>
      <w:r>
        <w:rPr>
          <w:rFonts w:hint="eastAsia" w:ascii="仿宋" w:hAnsi="仿宋" w:eastAsia="仿宋"/>
          <w:sz w:val="32"/>
          <w:szCs w:val="32"/>
        </w:rPr>
        <w:t xml:space="preserve">占权重20 分，用于考核项目立项依据规范性、绩效目标编制合理性、预算资金编制分配合理性等情况。 </w:t>
      </w:r>
    </w:p>
    <w:p>
      <w:pPr>
        <w:spacing w:line="600" w:lineRule="exact"/>
        <w:ind w:firstLine="562" w:firstLineChars="200"/>
        <w:outlineLvl w:val="0"/>
        <w:rPr>
          <w:rFonts w:ascii="仿宋" w:hAnsi="仿宋" w:eastAsia="仿宋"/>
          <w:sz w:val="32"/>
          <w:szCs w:val="32"/>
        </w:rPr>
      </w:pPr>
      <w:r>
        <w:rPr>
          <w:rFonts w:hint="eastAsia" w:ascii="楷体_GB2312" w:eastAsia="楷体_GB2312"/>
          <w:b/>
          <w:color w:val="000000"/>
          <w:sz w:val="28"/>
          <w:szCs w:val="28"/>
        </w:rPr>
        <w:t>（二）项目过程情况。</w:t>
      </w:r>
      <w:r>
        <w:rPr>
          <w:rFonts w:hint="eastAsia" w:ascii="仿宋" w:hAnsi="仿宋" w:eastAsia="仿宋"/>
          <w:sz w:val="32"/>
          <w:szCs w:val="32"/>
        </w:rPr>
        <w:t xml:space="preserve">占权重 20分，用于考核预算资金到位及执行使用的合规性、项目管理制度健全及有效性等情况。 </w:t>
      </w:r>
    </w:p>
    <w:p>
      <w:pPr>
        <w:spacing w:line="600" w:lineRule="exact"/>
        <w:ind w:firstLine="562" w:firstLineChars="200"/>
        <w:outlineLvl w:val="0"/>
        <w:rPr>
          <w:rFonts w:ascii="仿宋" w:hAnsi="仿宋" w:eastAsia="仿宋"/>
          <w:sz w:val="32"/>
          <w:szCs w:val="32"/>
        </w:rPr>
      </w:pPr>
      <w:r>
        <w:rPr>
          <w:rFonts w:hint="eastAsia" w:ascii="楷体_GB2312" w:eastAsia="楷体_GB2312"/>
          <w:b/>
          <w:color w:val="000000"/>
          <w:sz w:val="28"/>
          <w:szCs w:val="28"/>
        </w:rPr>
        <w:t>（三）项目产出情况。</w:t>
      </w:r>
      <w:r>
        <w:rPr>
          <w:rFonts w:hint="eastAsia" w:ascii="仿宋" w:hAnsi="仿宋" w:eastAsia="仿宋"/>
          <w:sz w:val="32"/>
          <w:szCs w:val="32"/>
        </w:rPr>
        <w:t xml:space="preserve">占权重 40 分，分为产出数量、产出质量、产出时效、产出成本四个方面，用于衡量实际工作成果。 </w:t>
      </w:r>
    </w:p>
    <w:p>
      <w:pPr>
        <w:spacing w:line="600" w:lineRule="exact"/>
        <w:ind w:firstLine="562" w:firstLineChars="200"/>
        <w:outlineLvl w:val="0"/>
        <w:rPr>
          <w:rFonts w:ascii="仿宋" w:hAnsi="仿宋" w:eastAsia="仿宋"/>
          <w:sz w:val="32"/>
          <w:szCs w:val="32"/>
        </w:rPr>
      </w:pPr>
      <w:r>
        <w:rPr>
          <w:rFonts w:hint="eastAsia" w:ascii="楷体_GB2312" w:eastAsia="楷体_GB2312"/>
          <w:b/>
          <w:color w:val="000000"/>
          <w:sz w:val="28"/>
          <w:szCs w:val="28"/>
        </w:rPr>
        <w:t>（四）项目效益情况。</w:t>
      </w:r>
      <w:r>
        <w:rPr>
          <w:rFonts w:hint="eastAsia" w:ascii="仿宋" w:hAnsi="仿宋" w:eastAsia="仿宋"/>
          <w:sz w:val="32"/>
          <w:szCs w:val="32"/>
        </w:rPr>
        <w:t xml:space="preserve">占权重20分，分为经济效益、社会效益、环境效益、可持续影响、服务对象满意度五个方面，用于展现项目实施效果。 </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五、主要经验及做法、存在的问题及原因分析</w:t>
      </w:r>
    </w:p>
    <w:p>
      <w:pPr>
        <w:ind w:firstLine="640" w:firstLineChars="200"/>
        <w:rPr>
          <w:rFonts w:ascii="仿宋" w:hAnsi="仿宋" w:eastAsia="仿宋"/>
          <w:sz w:val="32"/>
          <w:szCs w:val="32"/>
        </w:rPr>
      </w:pPr>
      <w:r>
        <w:rPr>
          <w:rFonts w:hint="eastAsia" w:ascii="仿宋" w:hAnsi="仿宋" w:eastAsia="仿宋"/>
          <w:sz w:val="32"/>
          <w:szCs w:val="32"/>
        </w:rPr>
        <w:t>成立主要领导人为负责人绩效评价小组，项目资金的使用都严格按照财《西湖区卫健委专项资金管理办法》开支，、设置项目辅助账进行帐务管理。在资金使用过程中，严把监督审核关，</w:t>
      </w:r>
      <w:r>
        <w:rPr>
          <w:rFonts w:hint="eastAsia" w:ascii="仿宋" w:hAnsi="仿宋" w:eastAsia="仿宋"/>
          <w:sz w:val="32"/>
          <w:szCs w:val="32"/>
          <w:lang w:eastAsia="zh-CN"/>
        </w:rPr>
        <w:t>建</w:t>
      </w:r>
      <w:r>
        <w:rPr>
          <w:rFonts w:hint="eastAsia" w:ascii="仿宋" w:hAnsi="仿宋" w:eastAsia="仿宋"/>
          <w:sz w:val="32"/>
          <w:szCs w:val="32"/>
        </w:rPr>
        <w:t>立健全内部审批，保证项目的持续发展和有效运行。</w:t>
      </w:r>
    </w:p>
    <w:p>
      <w:pPr>
        <w:adjustRightInd w:val="0"/>
        <w:snapToGrid w:val="0"/>
        <w:spacing w:line="560" w:lineRule="atLeast"/>
        <w:ind w:firstLine="640" w:firstLineChars="200"/>
        <w:rPr>
          <w:rFonts w:ascii="仿宋" w:hAnsi="仿宋" w:eastAsia="仿宋"/>
          <w:sz w:val="32"/>
          <w:szCs w:val="32"/>
        </w:rPr>
      </w:pPr>
      <w:r>
        <w:rPr>
          <w:rFonts w:hint="eastAsia" w:ascii="仿宋" w:hAnsi="仿宋" w:eastAsia="仿宋"/>
          <w:sz w:val="32"/>
          <w:szCs w:val="32"/>
        </w:rPr>
        <w:t>绩效管理知识缺乏，或缺少相应的绩效管理经验，没有专职绩效管理人员，不能有效的实现绩效管理所预测的效果，导致绩效管理执行时缺乏必要的力度。</w:t>
      </w:r>
    </w:p>
    <w:p>
      <w:pPr>
        <w:tabs>
          <w:tab w:val="left" w:pos="3105"/>
        </w:tabs>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六、有关建议</w:t>
      </w:r>
      <w:r>
        <w:rPr>
          <w:rFonts w:ascii="黑体" w:hAnsi="黑体" w:eastAsia="黑体"/>
          <w:color w:val="000000"/>
          <w:sz w:val="32"/>
          <w:szCs w:val="32"/>
        </w:rPr>
        <w:tab/>
      </w:r>
    </w:p>
    <w:p>
      <w:pPr>
        <w:ind w:firstLine="640" w:firstLineChars="200"/>
        <w:rPr>
          <w:rFonts w:ascii="仿宋" w:hAnsi="仿宋" w:eastAsia="仿宋"/>
          <w:sz w:val="32"/>
          <w:szCs w:val="32"/>
        </w:rPr>
      </w:pPr>
      <w:r>
        <w:rPr>
          <w:rFonts w:hint="eastAsia" w:ascii="仿宋" w:hAnsi="仿宋" w:eastAsia="仿宋"/>
          <w:sz w:val="32"/>
          <w:szCs w:val="32"/>
        </w:rPr>
        <w:t>无</w:t>
      </w:r>
    </w:p>
    <w:p>
      <w:pPr>
        <w:spacing w:line="60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七、其他需要说明的问题</w:t>
      </w:r>
    </w:p>
    <w:p>
      <w:pPr>
        <w:ind w:firstLine="640" w:firstLineChars="200"/>
        <w:rPr>
          <w:rFonts w:ascii="仿宋" w:hAnsi="仿宋" w:eastAsia="仿宋"/>
          <w:sz w:val="32"/>
          <w:szCs w:val="32"/>
        </w:rPr>
        <w:sectPr>
          <w:footerReference r:id="rId6" w:type="first"/>
          <w:headerReference r:id="rId3" w:type="default"/>
          <w:footerReference r:id="rId4" w:type="default"/>
          <w:footerReference r:id="rId5" w:type="even"/>
          <w:pgSz w:w="11906" w:h="16838"/>
          <w:pgMar w:top="1134" w:right="1134" w:bottom="1134" w:left="1134" w:header="851" w:footer="992" w:gutter="0"/>
          <w:pgNumType w:fmt="numberInDash"/>
          <w:cols w:space="720" w:num="1"/>
          <w:docGrid w:type="lines" w:linePitch="312" w:charSpace="0"/>
        </w:sectPr>
      </w:pPr>
      <w:r>
        <w:rPr>
          <w:rFonts w:hint="eastAsia" w:ascii="仿宋" w:hAnsi="仿宋" w:eastAsia="仿宋"/>
          <w:sz w:val="32"/>
          <w:szCs w:val="32"/>
        </w:rPr>
        <w:t>无</w:t>
      </w:r>
    </w:p>
    <w:p>
      <w:pPr>
        <w:spacing w:line="520" w:lineRule="exact"/>
        <w:ind w:firstLine="2340" w:firstLineChars="450"/>
        <w:rPr>
          <w:rFonts w:ascii="方正小标宋简体" w:hAnsi="宋体" w:eastAsia="方正小标宋简体" w:cs="Arial"/>
          <w:bCs/>
          <w:color w:val="000000"/>
          <w:sz w:val="32"/>
          <w:szCs w:val="32"/>
        </w:rPr>
      </w:pPr>
      <w:r>
        <w:rPr>
          <w:rFonts w:hint="eastAsia" w:ascii="方正小标宋简体" w:hAnsi="宋体" w:eastAsia="方正小标宋简体" w:cs="Arial"/>
          <w:bCs/>
          <w:color w:val="000000"/>
          <w:spacing w:val="40"/>
          <w:sz w:val="44"/>
          <w:szCs w:val="44"/>
        </w:rPr>
        <w:t>项目支出绩效评分</w:t>
      </w:r>
      <w:r>
        <w:rPr>
          <w:rFonts w:hint="eastAsia" w:ascii="方正小标宋简体" w:hAnsi="宋体" w:eastAsia="方正小标宋简体" w:cs="Arial"/>
          <w:bCs/>
          <w:color w:val="000000"/>
          <w:sz w:val="44"/>
          <w:szCs w:val="44"/>
        </w:rPr>
        <w:t>表</w:t>
      </w:r>
    </w:p>
    <w:tbl>
      <w:tblPr>
        <w:tblStyle w:val="6"/>
        <w:tblW w:w="54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65"/>
        <w:gridCol w:w="926"/>
        <w:gridCol w:w="496"/>
        <w:gridCol w:w="1473"/>
        <w:gridCol w:w="433"/>
        <w:gridCol w:w="4292"/>
        <w:gridCol w:w="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604"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533" w:type="pct"/>
            <w:gridSpan w:val="2"/>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267"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分值</w:t>
            </w:r>
          </w:p>
        </w:tc>
        <w:tc>
          <w:tcPr>
            <w:tcW w:w="792"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233"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分值</w:t>
            </w:r>
          </w:p>
        </w:tc>
        <w:tc>
          <w:tcPr>
            <w:tcW w:w="2308"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264" w:type="pct"/>
            <w:shd w:val="clear" w:color="auto" w:fill="FFFFFF"/>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restart"/>
            <w:shd w:val="clear" w:color="auto" w:fill="FFFFFF"/>
            <w:vAlign w:val="center"/>
          </w:tcPr>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决策（15分）</w:t>
            </w:r>
          </w:p>
        </w:tc>
        <w:tc>
          <w:tcPr>
            <w:tcW w:w="533" w:type="pct"/>
            <w:gridSpan w:val="2"/>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　</w:t>
            </w:r>
          </w:p>
          <w:p>
            <w:pPr>
              <w:spacing w:line="240" w:lineRule="exact"/>
              <w:jc w:val="center"/>
              <w:rPr>
                <w:rFonts w:ascii="方正书宋简体" w:hAnsi="黑体" w:eastAsia="方正书宋简体" w:cs="宋体"/>
                <w:color w:val="000000"/>
                <w:kern w:val="0"/>
                <w:szCs w:val="21"/>
              </w:rPr>
            </w:pPr>
          </w:p>
        </w:tc>
        <w:tc>
          <w:tcPr>
            <w:tcW w:w="26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2308" w:type="pct"/>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①项目是否有绩效目标；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②项目绩效目标与实际工作内容是否具有相关性；</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③项目预期产出效益和效果是否符合正常的业绩水平；</w:t>
            </w:r>
          </w:p>
          <w:p>
            <w:pPr>
              <w:widowControl/>
              <w:spacing w:line="240" w:lineRule="exact"/>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④是否与预算确定的项目投资额或资金量相匹配。</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6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明确性</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2308" w:type="pct"/>
            <w:shd w:val="clear" w:color="000000" w:fill="FFFFFF"/>
            <w:vAlign w:val="center"/>
          </w:tcPr>
          <w:p>
            <w:pPr>
              <w:pStyle w:val="10"/>
              <w:widowControl/>
              <w:spacing w:line="240" w:lineRule="exact"/>
              <w:ind w:left="0" w:leftChars="0" w:firstLine="0" w:firstLineChars="0"/>
              <w:jc w:val="both"/>
              <w:rPr>
                <w:rFonts w:ascii="方正书宋简体" w:hAnsi="黑体" w:eastAsia="方正书宋简体" w:cs="宋体"/>
                <w:color w:val="000000"/>
                <w:kern w:val="0"/>
                <w:szCs w:val="21"/>
              </w:rPr>
            </w:pPr>
            <w:r>
              <w:rPr>
                <w:rFonts w:hint="eastAsia" w:ascii="宋体" w:hAnsi="宋体" w:cs="宋体"/>
                <w:color w:val="000000"/>
                <w:kern w:val="0"/>
                <w:sz w:val="18"/>
                <w:szCs w:val="18"/>
              </w:rPr>
              <w:t>①是否将项目绩效目标细化分解为具体的绩效指标；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②是否通过清晰、可衡量的指标值予以体现；</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③是否与项目目标任务数或计划数相对应。</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33" w:type="pct"/>
            <w:gridSpan w:val="2"/>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p>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26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科学性</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2308" w:type="pct"/>
            <w:shd w:val="clear" w:color="auto" w:fill="FFFFFF"/>
            <w:vAlign w:val="center"/>
          </w:tcPr>
          <w:p>
            <w:pPr>
              <w:widowControl/>
              <w:spacing w:line="240" w:lineRule="exact"/>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①预算编制是否经过科学论证；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②预算内容与项目内容是否匹配；</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③预算额度测算依据是否充分，是否按照标准编制；</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④预算确定的项目投资额或资金量是否与工作任务相匹配。</w:t>
            </w:r>
          </w:p>
        </w:tc>
        <w:tc>
          <w:tcPr>
            <w:tcW w:w="264"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6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资金分配</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308" w:type="pct"/>
            <w:shd w:val="clear" w:color="auto" w:fill="FFFFFF"/>
            <w:vAlign w:val="center"/>
          </w:tcPr>
          <w:p>
            <w:pPr>
              <w:pStyle w:val="10"/>
              <w:widowControl/>
              <w:numPr>
                <w:ilvl w:val="0"/>
                <w:numId w:val="0"/>
              </w:numPr>
              <w:spacing w:line="240" w:lineRule="exact"/>
              <w:ind w:leftChars="0"/>
              <w:jc w:val="left"/>
              <w:rPr>
                <w:rFonts w:ascii="方正书宋简体" w:hAnsi="黑体" w:eastAsia="方正书宋简体" w:cs="宋体"/>
                <w:color w:val="000000"/>
                <w:kern w:val="0"/>
                <w:szCs w:val="21"/>
              </w:rPr>
            </w:pPr>
            <w:r>
              <w:rPr>
                <w:rFonts w:hint="eastAsia" w:ascii="微软雅黑" w:hAnsi="微软雅黑" w:eastAsia="微软雅黑" w:cs="微软雅黑"/>
                <w:color w:val="000000"/>
                <w:kern w:val="0"/>
                <w:sz w:val="18"/>
                <w:szCs w:val="18"/>
              </w:rPr>
              <w:t>①</w:t>
            </w:r>
            <w:r>
              <w:rPr>
                <w:rFonts w:hint="eastAsia" w:ascii="宋体" w:hAnsi="宋体" w:cs="宋体"/>
                <w:color w:val="000000"/>
                <w:kern w:val="0"/>
                <w:sz w:val="18"/>
                <w:szCs w:val="18"/>
              </w:rPr>
              <w:t>算资金分配依据是否充分；</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②资金分配额度是否合理，与项目单位或地方实际是否相适应。</w:t>
            </w:r>
          </w:p>
        </w:tc>
        <w:tc>
          <w:tcPr>
            <w:tcW w:w="264"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restart"/>
            <w:shd w:val="clear" w:color="auto" w:fill="FFFFFF"/>
            <w:vAlign w:val="center"/>
          </w:tcPr>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过程（15分）</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33" w:type="pct"/>
            <w:gridSpan w:val="2"/>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p>
            <w:pPr>
              <w:spacing w:line="240" w:lineRule="exact"/>
              <w:jc w:val="center"/>
              <w:rPr>
                <w:rFonts w:ascii="方正书宋简体" w:hAnsi="黑体" w:eastAsia="方正书宋简体" w:cs="宋体"/>
                <w:color w:val="000000"/>
                <w:kern w:val="0"/>
                <w:szCs w:val="21"/>
              </w:rPr>
            </w:pPr>
          </w:p>
        </w:tc>
        <w:tc>
          <w:tcPr>
            <w:tcW w:w="26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308" w:type="pct"/>
            <w:shd w:val="clear" w:color="000000" w:fill="FFFFFF"/>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资金到位率=（实际到位资金/预算资金）×100%。</w:t>
            </w:r>
          </w:p>
          <w:p>
            <w:pPr>
              <w:widowControl/>
              <w:spacing w:line="240" w:lineRule="exact"/>
              <w:jc w:val="left"/>
              <w:rPr>
                <w:rFonts w:ascii="方正书宋简体" w:hAnsi="黑体" w:eastAsia="方正书宋简体" w:cs="宋体"/>
                <w:color w:val="000000"/>
                <w:kern w:val="0"/>
                <w:szCs w:val="21"/>
              </w:rPr>
            </w:pP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33" w:type="pct"/>
            <w:gridSpan w:val="2"/>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26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308" w:type="pct"/>
            <w:shd w:val="clear" w:color="auto" w:fill="FFFFFF"/>
            <w:vAlign w:val="center"/>
          </w:tcPr>
          <w:p>
            <w:pPr>
              <w:widowControl/>
              <w:spacing w:line="240" w:lineRule="exact"/>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算执行率=（实际支出资金/实际到位资金）×100%。</w:t>
            </w:r>
          </w:p>
        </w:tc>
        <w:tc>
          <w:tcPr>
            <w:tcW w:w="264"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33" w:type="pct"/>
            <w:gridSpan w:val="2"/>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6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资金使用</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合规性</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308" w:type="pct"/>
            <w:shd w:val="clear" w:color="000000" w:fill="FFFFFF"/>
            <w:vAlign w:val="center"/>
          </w:tcPr>
          <w:p>
            <w:pPr>
              <w:widowControl/>
              <w:spacing w:line="240" w:lineRule="exact"/>
              <w:jc w:val="left"/>
              <w:rPr>
                <w:rFonts w:ascii="方正书宋简体" w:hAnsi="黑体" w:eastAsia="方正书宋简体" w:cs="宋体"/>
                <w:color w:val="000000"/>
                <w:kern w:val="0"/>
                <w:szCs w:val="21"/>
              </w:rPr>
            </w:pPr>
            <w:r>
              <w:rPr>
                <w:rFonts w:hint="eastAsia" w:ascii="宋体" w:hAnsi="宋体" w:cs="宋体"/>
                <w:color w:val="000000"/>
                <w:kern w:val="0"/>
                <w:sz w:val="18"/>
                <w:szCs w:val="18"/>
              </w:rPr>
              <w:t>算执行率=（实际支出资金/实际到位资金）×100%。</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33" w:type="pct"/>
            <w:gridSpan w:val="2"/>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p>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267"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6</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健全性</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308" w:type="pct"/>
            <w:shd w:val="clear" w:color="000000" w:fill="FFFFFF"/>
            <w:vAlign w:val="center"/>
          </w:tcPr>
          <w:p>
            <w:pPr>
              <w:pStyle w:val="10"/>
              <w:widowControl/>
              <w:numPr>
                <w:ilvl w:val="0"/>
                <w:numId w:val="0"/>
              </w:numPr>
              <w:spacing w:line="240" w:lineRule="exact"/>
              <w:ind w:leftChars="0"/>
              <w:jc w:val="left"/>
              <w:rPr>
                <w:rFonts w:ascii="方正书宋简体" w:hAnsi="黑体" w:eastAsia="方正书宋简体" w:cs="宋体"/>
                <w:color w:val="000000"/>
                <w:kern w:val="0"/>
                <w:szCs w:val="21"/>
              </w:rPr>
            </w:pPr>
            <w:r>
              <w:rPr>
                <w:rFonts w:hint="eastAsia" w:ascii="微软雅黑" w:hAnsi="微软雅黑" w:eastAsia="微软雅黑" w:cs="微软雅黑"/>
                <w:color w:val="000000"/>
                <w:kern w:val="0"/>
                <w:sz w:val="18"/>
                <w:szCs w:val="18"/>
              </w:rPr>
              <w:t>①</w:t>
            </w:r>
            <w:r>
              <w:rPr>
                <w:rFonts w:hint="eastAsia" w:ascii="宋体" w:hAnsi="宋体" w:cs="宋体"/>
                <w:color w:val="000000"/>
                <w:kern w:val="0"/>
                <w:sz w:val="18"/>
                <w:szCs w:val="18"/>
              </w:rPr>
              <w:t>否已制定或具有相应的财务和业务管理制度；</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②财务和业务管理制度是否合法、合规、完整。</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67"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制度执行</w:t>
            </w:r>
          </w:p>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有效性</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2308" w:type="pct"/>
            <w:shd w:val="clear" w:color="000000" w:fill="FFFFFF"/>
            <w:vAlign w:val="center"/>
          </w:tcPr>
          <w:p>
            <w:pPr>
              <w:pStyle w:val="10"/>
              <w:widowControl/>
              <w:numPr>
                <w:ilvl w:val="0"/>
                <w:numId w:val="0"/>
              </w:numPr>
              <w:spacing w:line="240" w:lineRule="exact"/>
              <w:ind w:leftChars="0"/>
              <w:rPr>
                <w:rFonts w:ascii="方正书宋简体" w:hAnsi="黑体" w:eastAsia="方正书宋简体" w:cs="宋体"/>
                <w:color w:val="000000"/>
                <w:kern w:val="0"/>
                <w:szCs w:val="21"/>
              </w:rPr>
            </w:pPr>
            <w:r>
              <w:rPr>
                <w:rFonts w:hint="eastAsia" w:ascii="微软雅黑" w:hAnsi="微软雅黑" w:eastAsia="微软雅黑" w:cs="微软雅黑"/>
                <w:color w:val="000000"/>
                <w:kern w:val="0"/>
                <w:sz w:val="18"/>
                <w:szCs w:val="18"/>
              </w:rPr>
              <w:t>①</w:t>
            </w:r>
            <w:r>
              <w:rPr>
                <w:rFonts w:hint="eastAsia" w:ascii="宋体" w:hAnsi="宋体" w:cs="宋体"/>
                <w:color w:val="000000"/>
                <w:kern w:val="0"/>
                <w:sz w:val="18"/>
                <w:szCs w:val="18"/>
              </w:rPr>
              <w:t>否遵守相关法律法规和相关管理规定；</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②项目调整及支出调整手续是否完备；</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③项目合同书、验收报告、技术鉴定等资料是否齐全并及时归档；</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④项目实施的人员条件、场地设备、信息支撑等是否落实到位。</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产出（35分）</w:t>
            </w:r>
          </w:p>
        </w:tc>
        <w:tc>
          <w:tcPr>
            <w:tcW w:w="533" w:type="pct"/>
            <w:gridSpan w:val="2"/>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产出数量</w:t>
            </w:r>
          </w:p>
        </w:tc>
        <w:tc>
          <w:tcPr>
            <w:tcW w:w="267" w:type="pct"/>
            <w:shd w:val="clear" w:color="auto" w:fill="FFFFFF"/>
            <w:vAlign w:val="center"/>
          </w:tcPr>
          <w:p>
            <w:pPr>
              <w:jc w:val="center"/>
              <w:rPr>
                <w:color w:val="000000"/>
                <w:sz w:val="20"/>
              </w:rPr>
            </w:pPr>
            <w:r>
              <w:rPr>
                <w:rFonts w:hint="eastAsia"/>
                <w:color w:val="000000"/>
                <w:sz w:val="20"/>
              </w:rPr>
              <w:t>7</w:t>
            </w:r>
          </w:p>
        </w:tc>
        <w:tc>
          <w:tcPr>
            <w:tcW w:w="792" w:type="pct"/>
            <w:shd w:val="clear" w:color="auto" w:fill="FFFFFF"/>
            <w:vAlign w:val="center"/>
          </w:tcPr>
          <w:p>
            <w:pPr>
              <w:rPr>
                <w:rFonts w:ascii="宋体" w:hAnsi="宋体" w:cs="宋体"/>
                <w:color w:val="000000"/>
                <w:sz w:val="20"/>
              </w:rPr>
            </w:pPr>
            <w:r>
              <w:rPr>
                <w:rFonts w:hint="eastAsia"/>
                <w:color w:val="000000"/>
                <w:sz w:val="20"/>
              </w:rPr>
              <w:t>发放人数</w:t>
            </w:r>
          </w:p>
        </w:tc>
        <w:tc>
          <w:tcPr>
            <w:tcW w:w="233" w:type="pct"/>
            <w:shd w:val="clear" w:color="000000" w:fill="FFFFFF"/>
            <w:vAlign w:val="center"/>
          </w:tcPr>
          <w:p>
            <w:pPr>
              <w:jc w:val="center"/>
              <w:rPr>
                <w:rFonts w:ascii="宋体" w:hAnsi="宋体" w:cs="宋体"/>
                <w:color w:val="000000"/>
                <w:sz w:val="20"/>
              </w:rPr>
            </w:pPr>
            <w:r>
              <w:rPr>
                <w:rFonts w:hint="eastAsia" w:ascii="宋体" w:hAnsi="宋体" w:cs="宋体"/>
                <w:color w:val="000000"/>
                <w:sz w:val="20"/>
              </w:rPr>
              <w:t>7</w:t>
            </w:r>
          </w:p>
        </w:tc>
        <w:tc>
          <w:tcPr>
            <w:tcW w:w="2308" w:type="pct"/>
            <w:shd w:val="clear" w:color="000000" w:fill="FFFFFF"/>
            <w:vAlign w:val="center"/>
          </w:tcPr>
          <w:p>
            <w:pPr>
              <w:widowControl/>
              <w:spacing w:line="240" w:lineRule="exact"/>
              <w:jc w:val="left"/>
              <w:rPr>
                <w:rFonts w:ascii="方正书宋简体" w:hAnsi="黑体" w:eastAsia="方正书宋简体" w:cs="宋体"/>
                <w:color w:val="000000"/>
                <w:kern w:val="0"/>
                <w:sz w:val="18"/>
                <w:szCs w:val="18"/>
              </w:rPr>
            </w:pPr>
            <w:r>
              <w:rPr>
                <w:rFonts w:hint="eastAsia" w:ascii="方正书宋简体" w:hAnsi="黑体" w:eastAsia="方正书宋简体" w:cs="宋体"/>
                <w:color w:val="000000"/>
                <w:kern w:val="0"/>
                <w:sz w:val="18"/>
                <w:szCs w:val="18"/>
              </w:rPr>
              <w:t>41513人。</w:t>
            </w:r>
            <w:r>
              <w:rPr>
                <w:rFonts w:hint="eastAsia" w:ascii="方正书宋简体" w:hAnsi="黑体" w:eastAsia="方正书宋简体" w:cs="宋体"/>
                <w:color w:val="000000"/>
                <w:kern w:val="0"/>
                <w:sz w:val="18"/>
                <w:szCs w:val="18"/>
                <w:lang w:val="en-US" w:eastAsia="zh-CN"/>
              </w:rPr>
              <w:t>象</w:t>
            </w:r>
            <w:r>
              <w:rPr>
                <w:rFonts w:hint="eastAsia" w:ascii="宋体" w:hAnsi="宋体" w:cs="宋体"/>
                <w:color w:val="000000"/>
                <w:sz w:val="18"/>
                <w:szCs w:val="18"/>
              </w:rPr>
              <w:t>控制在正负5%内得10分，否则每10%扣2分，扣完为止。</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p>
        </w:tc>
        <w:tc>
          <w:tcPr>
            <w:tcW w:w="267" w:type="pct"/>
            <w:vMerge w:val="restart"/>
            <w:shd w:val="clear" w:color="auto" w:fill="FFFFFF"/>
            <w:vAlign w:val="center"/>
          </w:tcPr>
          <w:p>
            <w:pPr>
              <w:jc w:val="center"/>
              <w:rPr>
                <w:color w:val="000000"/>
                <w:sz w:val="20"/>
              </w:rPr>
            </w:pPr>
            <w:r>
              <w:rPr>
                <w:rFonts w:hint="eastAsia"/>
                <w:color w:val="000000"/>
                <w:sz w:val="20"/>
              </w:rPr>
              <w:t>14</w:t>
            </w:r>
          </w:p>
        </w:tc>
        <w:tc>
          <w:tcPr>
            <w:tcW w:w="792" w:type="pct"/>
            <w:shd w:val="clear" w:color="auto" w:fill="FFFFFF"/>
            <w:vAlign w:val="center"/>
          </w:tcPr>
          <w:p>
            <w:pPr>
              <w:rPr>
                <w:rFonts w:ascii="宋体" w:hAnsi="宋体" w:cs="宋体"/>
                <w:color w:val="000000"/>
                <w:sz w:val="15"/>
                <w:szCs w:val="15"/>
              </w:rPr>
            </w:pPr>
            <w:r>
              <w:rPr>
                <w:rFonts w:hint="eastAsia"/>
                <w:color w:val="000000"/>
                <w:sz w:val="15"/>
                <w:szCs w:val="15"/>
              </w:rPr>
              <w:t>资金发放合规性</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308" w:type="pct"/>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发放对象</w:t>
            </w:r>
            <w:r>
              <w:rPr>
                <w:rFonts w:hint="eastAsia" w:ascii="方正书宋简体" w:hAnsi="黑体" w:eastAsia="方正书宋简体" w:cs="宋体"/>
                <w:color w:val="000000"/>
                <w:kern w:val="0"/>
                <w:sz w:val="18"/>
                <w:szCs w:val="18"/>
                <w:lang w:val="en-US" w:eastAsia="zh-CN"/>
              </w:rPr>
              <w:t>严格按照《西湖区城镇独生子女父母奖励发放流程》中奖励对</w:t>
            </w:r>
            <w:r>
              <w:rPr>
                <w:rFonts w:hint="eastAsia" w:ascii="宋体" w:hAnsi="宋体" w:eastAsia="方正书宋简体" w:cs="宋体"/>
                <w:color w:val="000000"/>
                <w:sz w:val="18"/>
                <w:szCs w:val="18"/>
                <w:lang w:val="en-US" w:eastAsia="zh-CN"/>
              </w:rPr>
              <w:t>象确认程序</w:t>
            </w:r>
            <w:r>
              <w:rPr>
                <w:rFonts w:hint="eastAsia" w:ascii="宋体" w:hAnsi="宋体" w:cs="宋体"/>
                <w:color w:val="000000"/>
                <w:sz w:val="18"/>
                <w:szCs w:val="18"/>
              </w:rPr>
              <w:t>。否则有一例不符合政策规定得0分。</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67" w:type="pct"/>
            <w:vMerge w:val="continue"/>
            <w:shd w:val="clear" w:color="auto" w:fill="FFFFFF"/>
            <w:vAlign w:val="center"/>
          </w:tcPr>
          <w:p>
            <w:pPr>
              <w:jc w:val="center"/>
              <w:rPr>
                <w:color w:val="000000"/>
                <w:sz w:val="20"/>
              </w:rPr>
            </w:pPr>
          </w:p>
        </w:tc>
        <w:tc>
          <w:tcPr>
            <w:tcW w:w="792" w:type="pct"/>
            <w:shd w:val="clear" w:color="auto" w:fill="FFFFFF"/>
            <w:vAlign w:val="center"/>
          </w:tcPr>
          <w:p>
            <w:pPr>
              <w:rPr>
                <w:color w:val="000000"/>
                <w:sz w:val="20"/>
              </w:rPr>
            </w:pPr>
            <w:r>
              <w:rPr>
                <w:rFonts w:hint="eastAsia"/>
                <w:color w:val="000000"/>
                <w:sz w:val="20"/>
              </w:rPr>
              <w:t>奖励资金发放到位率</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308" w:type="pct"/>
            <w:shd w:val="clear" w:color="000000" w:fill="FFFFFF"/>
            <w:vAlign w:val="center"/>
          </w:tcPr>
          <w:p>
            <w:pPr>
              <w:jc w:val="left"/>
              <w:rPr>
                <w:rFonts w:ascii="宋体" w:hAnsi="宋体" w:cs="宋体"/>
                <w:color w:val="000000"/>
                <w:sz w:val="18"/>
                <w:szCs w:val="18"/>
              </w:rPr>
            </w:pPr>
            <w:r>
              <w:rPr>
                <w:rFonts w:hint="eastAsia" w:ascii="宋体" w:hAnsi="宋体" w:cs="宋体"/>
                <w:color w:val="000000"/>
                <w:sz w:val="18"/>
                <w:szCs w:val="18"/>
              </w:rPr>
              <w:t>100%。到位率100%得5分，否则每低1%扣2分，扣完为止。</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spacing w:line="240" w:lineRule="exact"/>
              <w:jc w:val="center"/>
              <w:rPr>
                <w:rFonts w:ascii="方正书宋简体" w:hAnsi="黑体" w:eastAsia="方正书宋简体" w:cs="宋体"/>
                <w:color w:val="000000"/>
                <w:kern w:val="0"/>
                <w:szCs w:val="21"/>
              </w:rPr>
            </w:pPr>
          </w:p>
        </w:tc>
        <w:tc>
          <w:tcPr>
            <w:tcW w:w="533" w:type="pct"/>
            <w:gridSpan w:val="2"/>
            <w:shd w:val="clear" w:color="auto" w:fill="FFFFFF"/>
            <w:vAlign w:val="center"/>
          </w:tcPr>
          <w:p>
            <w:pPr>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产出时效</w:t>
            </w:r>
          </w:p>
        </w:tc>
        <w:tc>
          <w:tcPr>
            <w:tcW w:w="267"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完成及时率</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308" w:type="pct"/>
            <w:shd w:val="clear" w:color="000000" w:fill="FFFFFF"/>
            <w:vAlign w:val="center"/>
          </w:tcPr>
          <w:p>
            <w:pPr>
              <w:widowControl/>
              <w:spacing w:line="360" w:lineRule="auto"/>
              <w:jc w:val="left"/>
              <w:rPr>
                <w:rFonts w:ascii="方正书宋简体" w:hAnsi="黑体" w:eastAsia="方正书宋简体" w:cs="宋体"/>
                <w:color w:val="000000"/>
                <w:kern w:val="0"/>
                <w:sz w:val="18"/>
                <w:szCs w:val="18"/>
              </w:rPr>
            </w:pPr>
            <w:r>
              <w:rPr>
                <w:rFonts w:hint="eastAsia" w:ascii="宋体" w:hAnsi="宋体" w:cs="宋体"/>
                <w:color w:val="000000"/>
                <w:sz w:val="18"/>
                <w:szCs w:val="18"/>
              </w:rPr>
              <w:t>完成及时率100%得10分，否则每延迟1天扣1分，以此类推，扣完为止。</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p>
        </w:tc>
        <w:tc>
          <w:tcPr>
            <w:tcW w:w="267" w:type="pct"/>
            <w:shd w:val="clear" w:color="auto" w:fill="FFFFFF"/>
            <w:vAlign w:val="center"/>
          </w:tcPr>
          <w:p>
            <w:pPr>
              <w:widowControl/>
              <w:spacing w:line="240" w:lineRule="exact"/>
              <w:jc w:val="center"/>
              <w:rPr>
                <w:rFonts w:ascii="方正书宋简体" w:hAnsi="黑体" w:eastAsia="方正书宋简体" w:cs="宋体"/>
                <w:color w:val="000000"/>
                <w:kern w:val="0"/>
                <w:sz w:val="18"/>
                <w:szCs w:val="18"/>
              </w:rPr>
            </w:pPr>
            <w:r>
              <w:rPr>
                <w:rFonts w:hint="eastAsia" w:ascii="方正书宋简体" w:hAnsi="黑体" w:eastAsia="方正书宋简体" w:cs="宋体"/>
                <w:color w:val="000000"/>
                <w:kern w:val="0"/>
                <w:sz w:val="18"/>
                <w:szCs w:val="18"/>
              </w:rPr>
              <w:t>7</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 w:val="18"/>
                <w:szCs w:val="18"/>
              </w:rPr>
            </w:pPr>
            <w:r>
              <w:rPr>
                <w:rFonts w:hint="eastAsia" w:ascii="方正书宋简体" w:hAnsi="黑体" w:eastAsia="方正书宋简体" w:cs="宋体"/>
                <w:color w:val="000000"/>
                <w:kern w:val="0"/>
                <w:sz w:val="18"/>
                <w:szCs w:val="18"/>
              </w:rPr>
              <w:t>财政补助金额</w:t>
            </w:r>
          </w:p>
        </w:tc>
        <w:tc>
          <w:tcPr>
            <w:tcW w:w="233"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c>
          <w:tcPr>
            <w:tcW w:w="2308" w:type="pct"/>
            <w:shd w:val="clear" w:color="000000" w:fill="FFFFFF"/>
            <w:vAlign w:val="center"/>
          </w:tcPr>
          <w:p>
            <w:pPr>
              <w:widowControl/>
              <w:spacing w:line="240" w:lineRule="exact"/>
              <w:jc w:val="left"/>
              <w:rPr>
                <w:rFonts w:ascii="方正书宋简体" w:hAnsi="黑体" w:eastAsia="方正书宋简体" w:cs="宋体"/>
                <w:color w:val="000000"/>
                <w:kern w:val="0"/>
                <w:sz w:val="18"/>
                <w:szCs w:val="18"/>
              </w:rPr>
            </w:pPr>
            <w:r>
              <w:rPr>
                <w:rFonts w:hint="eastAsia" w:ascii="宋体" w:hAnsi="宋体" w:cs="宋体"/>
                <w:color w:val="000000"/>
                <w:kern w:val="0"/>
                <w:sz w:val="18"/>
                <w:szCs w:val="18"/>
              </w:rPr>
              <w:t>4898.5</w:t>
            </w:r>
            <w:r>
              <w:rPr>
                <w:rFonts w:hint="eastAsia" w:ascii="方正书宋简体" w:hAnsi="黑体" w:eastAsia="方正书宋简体" w:cs="宋体"/>
                <w:color w:val="000000"/>
                <w:kern w:val="0"/>
                <w:sz w:val="18"/>
                <w:szCs w:val="18"/>
              </w:rPr>
              <w:t>万元。</w:t>
            </w:r>
            <w:r>
              <w:rPr>
                <w:rFonts w:hint="eastAsia" w:ascii="宋体" w:hAnsi="宋体" w:cs="宋体"/>
                <w:color w:val="000000"/>
                <w:sz w:val="18"/>
                <w:szCs w:val="18"/>
              </w:rPr>
              <w:t>控制在正负5%内得10分，否则每10%扣2分，扣完为止。</w:t>
            </w:r>
          </w:p>
        </w:tc>
        <w:tc>
          <w:tcPr>
            <w:tcW w:w="264" w:type="pct"/>
            <w:shd w:val="clear" w:color="000000"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效益（25分）　</w:t>
            </w:r>
          </w:p>
        </w:tc>
        <w:tc>
          <w:tcPr>
            <w:tcW w:w="533" w:type="pct"/>
            <w:gridSpan w:val="2"/>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经济效益　</w:t>
            </w:r>
          </w:p>
        </w:tc>
        <w:tc>
          <w:tcPr>
            <w:tcW w:w="267"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 w:val="18"/>
                <w:szCs w:val="18"/>
              </w:rPr>
              <w:t>缓解奖励对象家庭经济压力</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w:t>
            </w:r>
          </w:p>
        </w:tc>
        <w:tc>
          <w:tcPr>
            <w:tcW w:w="2308" w:type="pct"/>
            <w:shd w:val="clear" w:color="auto" w:fill="FFFFFF"/>
            <w:vAlign w:val="center"/>
          </w:tcPr>
          <w:p>
            <w:pPr>
              <w:widowControl/>
              <w:spacing w:line="240" w:lineRule="exact"/>
              <w:jc w:val="left"/>
              <w:rPr>
                <w:rFonts w:ascii="方正书宋简体" w:hAnsi="黑体" w:eastAsia="方正书宋简体" w:cs="宋体"/>
                <w:color w:val="000000"/>
                <w:kern w:val="0"/>
                <w:sz w:val="18"/>
                <w:szCs w:val="18"/>
              </w:rPr>
            </w:pPr>
            <w:r>
              <w:rPr>
                <w:rFonts w:ascii="方正书宋简体" w:hAnsi="黑体" w:eastAsia="方正书宋简体" w:cs="宋体"/>
                <w:color w:val="000000"/>
                <w:kern w:val="0"/>
                <w:sz w:val="18"/>
                <w:szCs w:val="18"/>
              </w:rPr>
              <w:t>有一定效果，</w:t>
            </w:r>
            <w:r>
              <w:rPr>
                <w:rFonts w:hint="eastAsia" w:ascii="宋体" w:hAnsi="宋体" w:cs="宋体"/>
                <w:color w:val="000000"/>
                <w:sz w:val="18"/>
                <w:szCs w:val="18"/>
              </w:rPr>
              <w:t>≧85%认同得9分，</w:t>
            </w:r>
            <w:r>
              <w:rPr>
                <w:rFonts w:ascii="方正书宋简体" w:hAnsi="黑体" w:eastAsia="方正书宋简体" w:cs="宋体"/>
                <w:color w:val="000000"/>
                <w:kern w:val="0"/>
                <w:sz w:val="18"/>
                <w:szCs w:val="18"/>
              </w:rPr>
              <w:t>否则每低于</w:t>
            </w:r>
            <w:r>
              <w:rPr>
                <w:rFonts w:hint="eastAsia" w:ascii="方正书宋简体" w:hAnsi="黑体" w:eastAsia="方正书宋简体" w:cs="宋体"/>
                <w:color w:val="000000"/>
                <w:kern w:val="0"/>
                <w:sz w:val="18"/>
                <w:szCs w:val="18"/>
              </w:rPr>
              <w:t>5%扣2分分。</w:t>
            </w:r>
          </w:p>
        </w:tc>
        <w:tc>
          <w:tcPr>
            <w:tcW w:w="264" w:type="pct"/>
            <w:shd w:val="clear" w:color="auto" w:fill="FFFFFF"/>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社会效益</w:t>
            </w:r>
          </w:p>
        </w:tc>
        <w:tc>
          <w:tcPr>
            <w:tcW w:w="267"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奖励政策宣传到位</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c>
          <w:tcPr>
            <w:tcW w:w="2308" w:type="pct"/>
            <w:shd w:val="clear" w:color="auto" w:fill="FFFFFF"/>
            <w:vAlign w:val="center"/>
          </w:tcPr>
          <w:p>
            <w:pPr>
              <w:widowControl/>
              <w:spacing w:line="360" w:lineRule="auto"/>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4次。每少一次扣1分，扣完为止。</w:t>
            </w:r>
          </w:p>
        </w:tc>
        <w:tc>
          <w:tcPr>
            <w:tcW w:w="264"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生态效益</w:t>
            </w:r>
          </w:p>
        </w:tc>
        <w:tc>
          <w:tcPr>
            <w:tcW w:w="267"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ascii="方正书宋简体" w:hAnsi="黑体" w:eastAsia="方正书宋简体" w:cs="宋体"/>
                <w:color w:val="000000"/>
                <w:kern w:val="0"/>
                <w:szCs w:val="21"/>
              </w:rPr>
              <w:t>无</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30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264"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vMerge w:val="continue"/>
            <w:shd w:val="clear" w:color="auto" w:fill="FFFFFF"/>
            <w:vAlign w:val="center"/>
          </w:tcPr>
          <w:p>
            <w:pPr>
              <w:widowControl/>
              <w:spacing w:line="240" w:lineRule="exact"/>
              <w:jc w:val="center"/>
              <w:rPr>
                <w:rFonts w:ascii="方正书宋简体" w:hAnsi="黑体" w:eastAsia="方正书宋简体" w:cs="宋体"/>
                <w:color w:val="000000"/>
                <w:kern w:val="0"/>
                <w:szCs w:val="21"/>
              </w:rPr>
            </w:pPr>
          </w:p>
        </w:tc>
        <w:tc>
          <w:tcPr>
            <w:tcW w:w="533" w:type="pct"/>
            <w:gridSpan w:val="2"/>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可持续效益</w:t>
            </w:r>
          </w:p>
        </w:tc>
        <w:tc>
          <w:tcPr>
            <w:tcW w:w="267"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奖励政策每年持续性</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c>
          <w:tcPr>
            <w:tcW w:w="230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每年持续进行。否则得0分</w:t>
            </w:r>
          </w:p>
        </w:tc>
        <w:tc>
          <w:tcPr>
            <w:tcW w:w="264"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604" w:type="pct"/>
            <w:shd w:val="clear" w:color="auto" w:fill="FFFFFF"/>
            <w:vAlign w:val="center"/>
          </w:tcPr>
          <w:p>
            <w:pPr>
              <w:widowControl/>
              <w:spacing w:line="240" w:lineRule="exact"/>
              <w:jc w:val="center"/>
              <w:rPr>
                <w:rFonts w:ascii="方正书宋简体" w:hAnsi="黑体" w:eastAsia="方正书宋简体" w:cs="宋体"/>
                <w:color w:val="000000"/>
                <w:kern w:val="0"/>
                <w:sz w:val="18"/>
                <w:szCs w:val="18"/>
              </w:rPr>
            </w:pPr>
            <w:r>
              <w:rPr>
                <w:rFonts w:hint="eastAsia" w:ascii="方正书宋简体" w:hAnsi="黑体" w:eastAsia="方正书宋简体" w:cs="宋体"/>
                <w:color w:val="000000"/>
                <w:kern w:val="0"/>
                <w:sz w:val="18"/>
                <w:szCs w:val="18"/>
              </w:rPr>
              <w:t>满意度（10分）</w:t>
            </w:r>
          </w:p>
        </w:tc>
        <w:tc>
          <w:tcPr>
            <w:tcW w:w="533" w:type="pct"/>
            <w:gridSpan w:val="2"/>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p>
        </w:tc>
        <w:tc>
          <w:tcPr>
            <w:tcW w:w="267"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c>
          <w:tcPr>
            <w:tcW w:w="792"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服务对象满意度（%）</w:t>
            </w:r>
          </w:p>
        </w:tc>
        <w:tc>
          <w:tcPr>
            <w:tcW w:w="233"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c>
          <w:tcPr>
            <w:tcW w:w="2308" w:type="pc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93%。</w:t>
            </w:r>
            <w:r>
              <w:rPr>
                <w:rFonts w:hint="eastAsia" w:ascii="宋体" w:hAnsi="宋体" w:cs="宋体"/>
                <w:color w:val="000000"/>
                <w:sz w:val="18"/>
                <w:szCs w:val="18"/>
              </w:rPr>
              <w:t>≧90%得10分，否则每低5%扣1分，以此类推，扣完为止。</w:t>
            </w:r>
          </w:p>
        </w:tc>
        <w:tc>
          <w:tcPr>
            <w:tcW w:w="264" w:type="pct"/>
            <w:shd w:val="clear" w:color="auto" w:fill="FFFFFF"/>
            <w:vAlign w:val="center"/>
          </w:tcPr>
          <w:p>
            <w:pPr>
              <w:widowControl/>
              <w:spacing w:line="240" w:lineRule="exact"/>
              <w:jc w:val="center"/>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736" w:type="pct"/>
            <w:gridSpan w:val="7"/>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bCs/>
                <w:color w:val="000000"/>
                <w:kern w:val="0"/>
                <w:szCs w:val="21"/>
              </w:rPr>
              <w:t>总分</w:t>
            </w:r>
          </w:p>
        </w:tc>
        <w:tc>
          <w:tcPr>
            <w:tcW w:w="264" w:type="pct"/>
            <w:shd w:val="clear" w:color="auto" w:fill="FFFFFF"/>
            <w:vAlign w:val="center"/>
          </w:tcPr>
          <w:p>
            <w:pPr>
              <w:widowControl/>
              <w:spacing w:line="240" w:lineRule="exact"/>
              <w:rPr>
                <w:rFonts w:hint="eastAsia" w:ascii="方正书宋简体" w:hAnsi="黑体" w:eastAsia="方正书宋简体" w:cs="宋体"/>
                <w:color w:val="000000"/>
                <w:kern w:val="0"/>
                <w:szCs w:val="21"/>
                <w:lang w:eastAsia="zh-CN"/>
              </w:rPr>
            </w:pPr>
            <w:r>
              <w:rPr>
                <w:rFonts w:hint="eastAsia" w:ascii="方正书宋简体" w:hAnsi="黑体" w:eastAsia="方正书宋简体" w:cs="宋体"/>
                <w:color w:val="000000"/>
                <w:kern w:val="0"/>
                <w:szCs w:val="21"/>
              </w:rPr>
              <w:t>9</w:t>
            </w:r>
            <w:r>
              <w:rPr>
                <w:rFonts w:hint="eastAsia" w:ascii="方正书宋简体" w:hAnsi="黑体" w:eastAsia="方正书宋简体" w:cs="宋体"/>
                <w:color w:val="000000"/>
                <w:kern w:val="0"/>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jc w:val="center"/>
        </w:trPr>
        <w:tc>
          <w:tcPr>
            <w:tcW w:w="639" w:type="pct"/>
            <w:gridSpan w:val="2"/>
            <w:vMerge w:val="restart"/>
            <w:shd w:val="clear" w:color="auto" w:fill="FFFFFF"/>
            <w:vAlign w:val="center"/>
          </w:tcPr>
          <w:p>
            <w:pPr>
              <w:widowControl/>
              <w:spacing w:line="240" w:lineRule="exact"/>
              <w:jc w:val="center"/>
              <w:rPr>
                <w:rFonts w:ascii="方正书宋简体" w:hAnsi="黑体" w:eastAsia="方正书宋简体" w:cs="宋体"/>
                <w:color w:val="000000"/>
                <w:kern w:val="0"/>
                <w:szCs w:val="21"/>
              </w:rPr>
            </w:pPr>
            <w:r>
              <w:rPr>
                <w:rFonts w:hint="eastAsia" w:ascii="黑体" w:hAnsi="宋体" w:eastAsia="黑体" w:cs="黑体"/>
                <w:bCs/>
                <w:color w:val="000000"/>
                <w:kern w:val="0"/>
                <w:szCs w:val="21"/>
              </w:rPr>
              <w:t>评价等级</w:t>
            </w:r>
          </w:p>
        </w:tc>
        <w:tc>
          <w:tcPr>
            <w:tcW w:w="4361" w:type="pct"/>
            <w:gridSpan w:val="6"/>
            <w:shd w:val="clear" w:color="auto" w:fill="FFFFFF"/>
          </w:tcPr>
          <w:p>
            <w:pPr>
              <w:widowControl/>
              <w:spacing w:line="240" w:lineRule="exact"/>
              <w:jc w:val="center"/>
              <w:rPr>
                <w:rFonts w:ascii="黑体" w:hAnsi="宋体" w:eastAsia="黑体" w:cs="黑体"/>
                <w:b/>
                <w:color w:val="000000"/>
                <w:kern w:val="0"/>
                <w:szCs w:val="21"/>
              </w:rPr>
            </w:pPr>
            <w:r>
              <w:rPr>
                <w:rFonts w:hint="eastAsia" w:ascii="黑体" w:hAnsi="黑体" w:eastAsia="黑体" w:cs="黑体"/>
                <w:color w:val="000000"/>
                <w:kern w:val="0"/>
                <w:szCs w:val="21"/>
              </w:rPr>
              <w:sym w:font="Wingdings 2" w:char="F052"/>
            </w:r>
            <w:r>
              <w:rPr>
                <w:rFonts w:hint="eastAsia" w:ascii="黑体" w:hAnsi="黑体" w:eastAsia="黑体" w:cs="黑体"/>
                <w:color w:val="000000"/>
                <w:kern w:val="0"/>
                <w:szCs w:val="21"/>
              </w:rPr>
              <w:t xml:space="preserve">优        </w:t>
            </w:r>
            <w:r>
              <w:rPr>
                <w:rFonts w:hint="eastAsia" w:ascii="黑体" w:hAnsi="黑体" w:eastAsia="黑体" w:cs="黑体"/>
                <w:color w:val="000000"/>
                <w:kern w:val="0"/>
                <w:szCs w:val="21"/>
              </w:rPr>
              <w:sym w:font="Wingdings 2" w:char="00A3"/>
            </w:r>
            <w:r>
              <w:rPr>
                <w:rFonts w:hint="eastAsia" w:ascii="黑体" w:hAnsi="黑体" w:eastAsia="黑体" w:cs="黑体"/>
                <w:color w:val="000000"/>
                <w:kern w:val="0"/>
                <w:szCs w:val="21"/>
              </w:rPr>
              <w:t xml:space="preserve">良        </w:t>
            </w:r>
            <w:r>
              <w:rPr>
                <w:rFonts w:hint="eastAsia" w:ascii="黑体" w:hAnsi="黑体" w:eastAsia="黑体" w:cs="黑体"/>
                <w:color w:val="000000"/>
                <w:kern w:val="0"/>
                <w:szCs w:val="21"/>
              </w:rPr>
              <w:sym w:font="Wingdings 2" w:char="00A3"/>
            </w:r>
            <w:r>
              <w:rPr>
                <w:rFonts w:hint="eastAsia" w:ascii="黑体" w:hAnsi="黑体" w:eastAsia="黑体" w:cs="黑体"/>
                <w:color w:val="000000"/>
                <w:kern w:val="0"/>
                <w:szCs w:val="21"/>
              </w:rPr>
              <w:t xml:space="preserve">中         </w:t>
            </w:r>
            <w:r>
              <w:rPr>
                <w:rFonts w:hint="eastAsia" w:ascii="黑体" w:hAnsi="黑体" w:eastAsia="黑体" w:cs="黑体"/>
                <w:color w:val="000000"/>
                <w:kern w:val="0"/>
                <w:szCs w:val="21"/>
              </w:rPr>
              <w:sym w:font="Wingdings 2" w:char="00A3"/>
            </w:r>
            <w:r>
              <w:rPr>
                <w:rFonts w:hint="eastAsia" w:ascii="黑体" w:hAnsi="黑体" w:eastAsia="黑体" w:cs="黑体"/>
                <w:color w:val="000000"/>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39" w:type="pct"/>
            <w:gridSpan w:val="2"/>
            <w:vMerge w:val="continue"/>
            <w:shd w:val="clear" w:color="auto" w:fill="FFFFFF"/>
            <w:vAlign w:val="center"/>
          </w:tcPr>
          <w:p>
            <w:pPr>
              <w:widowControl/>
              <w:spacing w:line="240" w:lineRule="exact"/>
              <w:rPr>
                <w:rFonts w:ascii="方正书宋简体" w:hAnsi="黑体" w:eastAsia="方正书宋简体" w:cs="宋体"/>
                <w:color w:val="000000"/>
                <w:kern w:val="0"/>
                <w:szCs w:val="21"/>
              </w:rPr>
            </w:pPr>
          </w:p>
        </w:tc>
        <w:tc>
          <w:tcPr>
            <w:tcW w:w="4361" w:type="pct"/>
            <w:gridSpan w:val="6"/>
            <w:shd w:val="clear" w:color="auto" w:fill="FFFFFF"/>
          </w:tcPr>
          <w:p>
            <w:pPr>
              <w:widowControl/>
              <w:spacing w:line="240" w:lineRule="exact"/>
              <w:rPr>
                <w:rFonts w:ascii="方正书宋简体" w:hAnsi="黑体" w:eastAsia="方正书宋简体" w:cs="宋体"/>
                <w:color w:val="000000"/>
                <w:kern w:val="0"/>
                <w:szCs w:val="21"/>
              </w:rPr>
            </w:pPr>
            <w:r>
              <w:rPr>
                <w:rFonts w:hint="eastAsia" w:ascii="黑体" w:hAnsi="黑体" w:eastAsia="黑体" w:cs="黑体"/>
                <w:color w:val="000000"/>
                <w:kern w:val="0"/>
                <w:szCs w:val="21"/>
              </w:rPr>
              <w:t>90（含）-100分为优、80（含）-90分为良、60（含）-80分为中、60分以下为差</w:t>
            </w:r>
          </w:p>
        </w:tc>
      </w:tr>
    </w:tbl>
    <w:p>
      <w:pPr>
        <w:jc w:val="left"/>
      </w:pPr>
    </w:p>
    <w:p>
      <w:pPr>
        <w:jc w:val="left"/>
      </w:pPr>
    </w:p>
    <w:p>
      <w:pPr>
        <w:jc w:val="left"/>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p>
    <w:p>
      <w:pPr>
        <w:rPr>
          <w:rFonts w:hint="eastAsia" w:ascii="黑体" w:hAnsi="宋体" w:eastAsia="黑体" w:cs="Arial"/>
          <w:bCs/>
          <w:color w:val="000000"/>
          <w:sz w:val="32"/>
          <w:szCs w:val="32"/>
        </w:rPr>
      </w:pPr>
      <w:r>
        <w:rPr>
          <w:rFonts w:hint="eastAsia" w:ascii="黑体" w:hAnsi="宋体" w:eastAsia="黑体" w:cs="Arial"/>
          <w:bCs/>
          <w:color w:val="000000"/>
          <w:sz w:val="32"/>
          <w:szCs w:val="32"/>
        </w:rPr>
        <w:t>附件</w:t>
      </w:r>
      <w:r>
        <w:rPr>
          <w:rFonts w:hint="eastAsia" w:ascii="黑体" w:hAnsi="宋体" w:eastAsia="黑体" w:cs="Arial"/>
          <w:bCs/>
          <w:color w:val="000000"/>
          <w:sz w:val="32"/>
          <w:szCs w:val="32"/>
          <w:lang w:val="en-US" w:eastAsia="zh-CN"/>
        </w:rPr>
        <w:t>5</w:t>
      </w:r>
      <w:r>
        <w:rPr>
          <w:rFonts w:hint="eastAsia" w:ascii="黑体" w:hAnsi="宋体" w:eastAsia="黑体" w:cs="Arial"/>
          <w:bCs/>
          <w:color w:val="000000"/>
          <w:sz w:val="32"/>
          <w:szCs w:val="32"/>
        </w:rPr>
        <w:t>：</w:t>
      </w: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z w:val="44"/>
          <w:szCs w:val="44"/>
        </w:rPr>
        <w:t>艾滋病防治经费项目支出绩效评价报告</w:t>
      </w:r>
    </w:p>
    <w:p>
      <w:pPr>
        <w:numPr>
          <w:ilvl w:val="0"/>
          <w:numId w:val="5"/>
        </w:numPr>
        <w:snapToGrid w:val="0"/>
        <w:spacing w:line="360" w:lineRule="auto"/>
        <w:rPr>
          <w:rFonts w:hint="eastAsia" w:ascii="宋体"/>
          <w:b/>
          <w:color w:val="000000"/>
          <w:spacing w:val="-4"/>
          <w:sz w:val="30"/>
          <w:szCs w:val="30"/>
        </w:rPr>
      </w:pPr>
      <w:r>
        <w:rPr>
          <w:rFonts w:hint="eastAsia" w:ascii="宋体"/>
          <w:b/>
          <w:color w:val="000000"/>
          <w:spacing w:val="-4"/>
          <w:sz w:val="30"/>
          <w:szCs w:val="30"/>
        </w:rPr>
        <w:t>基本情况</w:t>
      </w:r>
    </w:p>
    <w:p>
      <w:pPr>
        <w:numPr>
          <w:ilvl w:val="0"/>
          <w:numId w:val="6"/>
        </w:numPr>
        <w:snapToGrid w:val="0"/>
        <w:spacing w:line="360" w:lineRule="auto"/>
        <w:rPr>
          <w:rFonts w:hint="eastAsia" w:ascii="宋体"/>
          <w:b/>
          <w:color w:val="000000"/>
          <w:spacing w:val="-4"/>
          <w:sz w:val="30"/>
          <w:szCs w:val="30"/>
        </w:rPr>
      </w:pPr>
      <w:r>
        <w:rPr>
          <w:rFonts w:hint="eastAsia" w:ascii="宋体"/>
          <w:b/>
          <w:color w:val="000000"/>
          <w:spacing w:val="-4"/>
          <w:sz w:val="30"/>
          <w:szCs w:val="30"/>
        </w:rPr>
        <w:t>项目概况</w:t>
      </w:r>
    </w:p>
    <w:p>
      <w:pPr>
        <w:snapToGrid w:val="0"/>
        <w:spacing w:line="360" w:lineRule="auto"/>
        <w:ind w:firstLine="444" w:firstLineChars="148"/>
        <w:rPr>
          <w:rFonts w:hint="eastAsia" w:ascii="宋体"/>
          <w:b/>
          <w:color w:val="000000"/>
          <w:spacing w:val="-4"/>
          <w:sz w:val="30"/>
          <w:szCs w:val="30"/>
        </w:rPr>
      </w:pPr>
      <w:r>
        <w:rPr>
          <w:rFonts w:hint="eastAsia" w:ascii="宋体" w:hAnsi="Times New Roman"/>
          <w:color w:val="000000"/>
          <w:sz w:val="30"/>
          <w:szCs w:val="30"/>
        </w:rPr>
        <w:t>1.项目背景</w:t>
      </w:r>
    </w:p>
    <w:p>
      <w:pPr>
        <w:snapToGrid w:val="0"/>
        <w:spacing w:line="360" w:lineRule="auto"/>
        <w:rPr>
          <w:rFonts w:hint="eastAsia" w:ascii="宋体"/>
          <w:color w:val="000000"/>
          <w:sz w:val="28"/>
          <w:szCs w:val="28"/>
        </w:rPr>
      </w:pPr>
      <w:r>
        <w:rPr>
          <w:rFonts w:hint="eastAsia" w:ascii="仿宋_GB2312" w:hAnsi="仿宋"/>
          <w:color w:val="000000"/>
          <w:spacing w:val="-4"/>
          <w:szCs w:val="32"/>
        </w:rPr>
        <w:t xml:space="preserve">     </w:t>
      </w:r>
      <w:r>
        <w:rPr>
          <w:rFonts w:hint="eastAsia" w:ascii="仿宋_GB2312" w:hAnsi="仿宋"/>
          <w:color w:val="000000"/>
          <w:spacing w:val="-4"/>
          <w:sz w:val="28"/>
          <w:szCs w:val="28"/>
        </w:rPr>
        <w:t xml:space="preserve"> </w:t>
      </w:r>
      <w:r>
        <w:rPr>
          <w:rFonts w:hint="eastAsia" w:ascii="宋体"/>
          <w:color w:val="000000"/>
          <w:sz w:val="28"/>
          <w:szCs w:val="28"/>
        </w:rPr>
        <w:t>为贯彻落实《艾滋病综合防治条例》和中国遏制与防治艾滋病“十三五”行动计划，解决防治工作中的重点难点工作，进一步推动我区艾滋病综合防治工作全面深入的开展，2020年全国艾滋病综合防治示范区项目继续开展宣传教育、同时加强监测与检测，提高艾滋病自愿咨询检测覆盖面，查找发现更多的艾滋病感染者；加大对吸毒、暗娼及男男同性恋等高危人群的综合干预；加强艾滋病感染者\病人管理；贯彻落实国家“四免一关怀”政策；最大限度的遏制艾滋病在我区的传播和扩散，使我区的艾滋病综合防治工作取得更大的成效。【依  据：南昌市人民政府办公厅关于印发《南昌市人民政府办公厅关于印发南昌市遏制与防治艾滋病“十三五”行动计划的通知》 洪府厅发[2018]75号。】</w:t>
      </w:r>
    </w:p>
    <w:p>
      <w:pPr>
        <w:snapToGrid w:val="0"/>
        <w:spacing w:line="360" w:lineRule="auto"/>
        <w:ind w:firstLine="444" w:firstLineChars="148"/>
        <w:rPr>
          <w:rFonts w:hint="eastAsia" w:ascii="宋体"/>
          <w:color w:val="000000"/>
          <w:sz w:val="28"/>
          <w:szCs w:val="28"/>
        </w:rPr>
      </w:pPr>
      <w:r>
        <w:rPr>
          <w:rFonts w:hint="eastAsia" w:ascii="宋体" w:hAnsi="Times New Roman"/>
          <w:color w:val="000000"/>
          <w:sz w:val="30"/>
          <w:szCs w:val="30"/>
        </w:rPr>
        <w:t>2.项目主要内容及实施情况</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为了更好开展工作，成立了西湖区艾滋病综合防治示范区办公室，设立单独的艾滋病性病防治科室，共有专职工作人员6人。能够开展的艾滋病防治工作领域有：监测与检测、宣传教育与政策倡导、预防干预、感染者病人的管理治疗与关怀、社会动员。</w:t>
      </w:r>
    </w:p>
    <w:p>
      <w:pPr>
        <w:pStyle w:val="2"/>
        <w:spacing w:line="360" w:lineRule="auto"/>
        <w:ind w:firstLine="560"/>
        <w:rPr>
          <w:rFonts w:hint="eastAsia" w:ascii="宋体"/>
          <w:color w:val="000000"/>
          <w:sz w:val="28"/>
        </w:rPr>
      </w:pPr>
      <w:r>
        <w:rPr>
          <w:rFonts w:hint="eastAsia" w:ascii="宋体" w:hAnsi="宋体" w:eastAsia="宋体" w:cs="仿宋_GB2312"/>
          <w:kern w:val="2"/>
          <w:sz w:val="28"/>
        </w:rPr>
        <w:t>3.资金投入和使用情况</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项目资金的使用都严格按照财《西湖区卫健委专项资金管理办法》开支，做好账务设置和账务管理。在资金使用过程中，严把监督审核关，</w:t>
      </w:r>
      <w:r>
        <w:rPr>
          <w:rFonts w:hint="eastAsia" w:ascii="宋体"/>
          <w:color w:val="000000"/>
          <w:sz w:val="28"/>
          <w:szCs w:val="28"/>
          <w:lang w:eastAsia="zh-CN"/>
        </w:rPr>
        <w:t>建</w:t>
      </w:r>
      <w:r>
        <w:rPr>
          <w:rFonts w:hint="eastAsia" w:ascii="宋体"/>
          <w:color w:val="000000"/>
          <w:sz w:val="28"/>
          <w:szCs w:val="28"/>
        </w:rPr>
        <w:t>立健全内部审批。同时，定期或不定期对资金使用、管理情况进行自查和检查，在实施项目过程中，厉行节约，避免浪费，使项目资金能最大限度地发挥其作用。</w:t>
      </w:r>
    </w:p>
    <w:p>
      <w:pPr>
        <w:spacing w:line="360" w:lineRule="auto"/>
        <w:ind w:firstLine="560" w:firstLineChars="200"/>
        <w:rPr>
          <w:rFonts w:hint="eastAsia" w:ascii="宋体"/>
          <w:sz w:val="28"/>
          <w:szCs w:val="28"/>
        </w:rPr>
      </w:pPr>
      <w:r>
        <w:rPr>
          <w:rFonts w:hint="eastAsia" w:ascii="宋体"/>
          <w:sz w:val="28"/>
          <w:szCs w:val="28"/>
        </w:rPr>
        <w:t>上年结转资金47.98 万元，2021年收到区级财政预算经费24万元，2021年实际支出为41.88万元，到2020年年底账面余额30.10 万元。</w:t>
      </w:r>
    </w:p>
    <w:p>
      <w:pPr>
        <w:snapToGrid w:val="0"/>
        <w:spacing w:line="360" w:lineRule="auto"/>
        <w:rPr>
          <w:rFonts w:hint="eastAsia" w:ascii="宋体"/>
          <w:b/>
          <w:color w:val="000000"/>
          <w:sz w:val="30"/>
          <w:szCs w:val="30"/>
        </w:rPr>
      </w:pPr>
      <w:r>
        <w:rPr>
          <w:rFonts w:hint="eastAsia" w:ascii="宋体"/>
          <w:b/>
          <w:color w:val="000000"/>
          <w:sz w:val="30"/>
          <w:szCs w:val="30"/>
        </w:rPr>
        <w:t>（二）项目绩效目标</w:t>
      </w:r>
    </w:p>
    <w:p>
      <w:pPr>
        <w:snapToGrid w:val="0"/>
        <w:spacing w:line="360" w:lineRule="auto"/>
        <w:ind w:firstLine="444" w:firstLineChars="148"/>
        <w:rPr>
          <w:rFonts w:hint="eastAsia" w:ascii="宋体"/>
          <w:color w:val="000000"/>
          <w:sz w:val="30"/>
          <w:szCs w:val="30"/>
        </w:rPr>
      </w:pPr>
      <w:r>
        <w:rPr>
          <w:rFonts w:hint="eastAsia" w:ascii="宋体"/>
          <w:color w:val="000000"/>
          <w:sz w:val="30"/>
          <w:szCs w:val="30"/>
        </w:rPr>
        <w:t>1.总体目标</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为贯彻党中央、国务院决策部署，推进联合国2030年终结艾滋病流行可持续发展目标的实现，落实《“健康中国2030”规划纲要》、《国务院关于实施健康中国行动的意见》（国发〔2019〕13号）、《健康中国行动（2019—2030年）》和《中国遏制与防治艾滋病“十三五”行动计划》（国办发〔2017〕8号）有关要求，解决当前艾滋病防治工作中的重点和难点问题，2020年西湖区第四轮全国艾滋病综合防治示范区项目将开展1、预防艾滋病宣传教育领域2、艾滋病综合干预领域3、艾滋病扩大检测和治疗领域4、预防艾滋病社会综合治理领域5、预防艾滋病母婴传播领域6、学校预防艾滋病教育领域这六大领域的艾滋病防治工作，最大限度的遏制艾滋病在我区的传播和扩散，遏制艾滋病性传播上升势头，将疫情持续控制在低流行水平。</w:t>
      </w:r>
    </w:p>
    <w:p>
      <w:pPr>
        <w:snapToGrid w:val="0"/>
        <w:spacing w:line="360" w:lineRule="auto"/>
        <w:rPr>
          <w:rFonts w:hint="eastAsia" w:ascii="宋体"/>
          <w:color w:val="000000"/>
          <w:sz w:val="30"/>
          <w:szCs w:val="30"/>
        </w:rPr>
      </w:pPr>
      <w:r>
        <w:rPr>
          <w:rFonts w:hint="eastAsia" w:ascii="宋体"/>
          <w:color w:val="000000"/>
          <w:sz w:val="30"/>
          <w:szCs w:val="30"/>
        </w:rPr>
        <w:t>2.阶段性目标</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 xml:space="preserve">1、艾滋病相关知识知晓率城镇居民达到85%以上，高危行为人群和青少年达到90%以上。 </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 xml:space="preserve">2、高危人群接受艾滋病和梅毒检测并知晓检测结果的比例达到90%以上。 </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 xml:space="preserve">3、当年存活的艾滋病病毒感染者和病人中，接受规范化随访管理的比例，以及感染者和病人的配偶或固定性伴进行艾滋病病毒抗体检测的比例均达到90%以上。 </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 xml:space="preserve">4、符合治疗标准的艾滋病病毒感染者和病人接受抗病毒治疗比例达到90%以上。 </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 xml:space="preserve">5、一期和二期梅毒年发病率呈下降趋势。 </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 xml:space="preserve">6、建立医疗卫生机构与社会组织的艾滋病防治协作机制，逐步提高社会组织工作能力。 </w:t>
      </w:r>
    </w:p>
    <w:p>
      <w:pPr>
        <w:snapToGrid w:val="0"/>
        <w:spacing w:line="360" w:lineRule="auto"/>
        <w:ind w:firstLine="560" w:firstLineChars="200"/>
        <w:rPr>
          <w:rFonts w:hint="eastAsia" w:ascii="宋体"/>
          <w:color w:val="000000"/>
          <w:sz w:val="28"/>
          <w:szCs w:val="28"/>
        </w:rPr>
      </w:pPr>
      <w:r>
        <w:rPr>
          <w:rFonts w:hint="eastAsia" w:ascii="宋体"/>
          <w:color w:val="000000"/>
          <w:sz w:val="28"/>
          <w:szCs w:val="28"/>
        </w:rPr>
        <w:t>7、全人群HIV检测率达15%以上。</w:t>
      </w:r>
    </w:p>
    <w:p>
      <w:pPr>
        <w:snapToGrid w:val="0"/>
        <w:spacing w:line="360" w:lineRule="auto"/>
        <w:rPr>
          <w:rFonts w:hint="eastAsia" w:ascii="宋体"/>
          <w:b/>
          <w:color w:val="000000"/>
          <w:sz w:val="30"/>
          <w:szCs w:val="30"/>
        </w:rPr>
      </w:pPr>
      <w:r>
        <w:rPr>
          <w:rFonts w:hint="eastAsia" w:ascii="宋体"/>
          <w:b/>
          <w:color w:val="000000"/>
          <w:sz w:val="30"/>
          <w:szCs w:val="30"/>
        </w:rPr>
        <w:t>二．绩效评估工作开展情况</w:t>
      </w:r>
    </w:p>
    <w:p>
      <w:pPr>
        <w:snapToGrid w:val="0"/>
        <w:spacing w:line="360" w:lineRule="auto"/>
        <w:rPr>
          <w:rFonts w:hint="eastAsia" w:ascii="宋体"/>
          <w:b/>
          <w:color w:val="000000"/>
          <w:sz w:val="30"/>
          <w:szCs w:val="30"/>
        </w:rPr>
      </w:pPr>
      <w:r>
        <w:rPr>
          <w:rFonts w:hint="eastAsia" w:ascii="宋体"/>
          <w:b/>
          <w:color w:val="000000"/>
          <w:sz w:val="30"/>
          <w:szCs w:val="30"/>
        </w:rPr>
        <w:t>（一）绩效评估目的、对象和范围</w:t>
      </w:r>
    </w:p>
    <w:p>
      <w:pPr>
        <w:spacing w:line="360" w:lineRule="auto"/>
        <w:ind w:firstLine="544" w:firstLineChars="200"/>
        <w:jc w:val="left"/>
        <w:rPr>
          <w:rFonts w:hint="eastAsia" w:ascii="仿宋_GB2312" w:hAnsi="仿宋"/>
          <w:color w:val="000000"/>
          <w:spacing w:val="-4"/>
          <w:sz w:val="28"/>
          <w:szCs w:val="28"/>
        </w:rPr>
      </w:pPr>
      <w:r>
        <w:rPr>
          <w:rFonts w:hint="eastAsia" w:ascii="仿宋_GB2312" w:hAnsi="仿宋"/>
          <w:color w:val="000000"/>
          <w:spacing w:val="-4"/>
          <w:sz w:val="28"/>
          <w:szCs w:val="28"/>
        </w:rPr>
        <w:t>为深入贯彻落实《中共中央国务院关于全面实施预算绩效管理的意见》，增强我单位项目支出科学性、合理性、规范性，强化单位绩效管理责任主体意识，全面提高项目资金支出效益而开展绩效评估。对象和范围是对象和范围是艾滋病防治经费。</w:t>
      </w:r>
    </w:p>
    <w:p>
      <w:pPr>
        <w:spacing w:line="360" w:lineRule="auto"/>
        <w:rPr>
          <w:rFonts w:hint="eastAsia" w:ascii="宋体"/>
          <w:b/>
          <w:color w:val="000000"/>
          <w:sz w:val="30"/>
          <w:szCs w:val="30"/>
        </w:rPr>
      </w:pPr>
      <w:r>
        <w:rPr>
          <w:rFonts w:hint="eastAsia" w:ascii="宋体"/>
          <w:b/>
          <w:color w:val="000000"/>
          <w:sz w:val="30"/>
          <w:szCs w:val="30"/>
        </w:rPr>
        <w:t>（二）绩效考核原则、评价指标体系、评价方法、评价标准</w:t>
      </w:r>
    </w:p>
    <w:p>
      <w:pPr>
        <w:spacing w:line="360" w:lineRule="auto"/>
        <w:ind w:firstLine="420" w:firstLineChars="150"/>
        <w:rPr>
          <w:rFonts w:hint="eastAsia" w:ascii="宋体"/>
          <w:color w:val="000000"/>
          <w:sz w:val="28"/>
          <w:szCs w:val="28"/>
        </w:rPr>
      </w:pPr>
      <w:r>
        <w:rPr>
          <w:rFonts w:hint="eastAsia" w:ascii="宋体"/>
          <w:color w:val="000000"/>
          <w:sz w:val="28"/>
          <w:szCs w:val="28"/>
        </w:rPr>
        <w:t>1. 绩效考核原则</w:t>
      </w:r>
    </w:p>
    <w:p>
      <w:pPr>
        <w:spacing w:line="360" w:lineRule="auto"/>
        <w:ind w:firstLine="151" w:firstLineChars="50"/>
        <w:jc w:val="left"/>
        <w:rPr>
          <w:rFonts w:hint="eastAsia" w:ascii="宋体" w:hAnsi="宋体"/>
          <w:color w:val="000000"/>
          <w:spacing w:val="-4"/>
          <w:sz w:val="28"/>
          <w:szCs w:val="28"/>
        </w:rPr>
      </w:pPr>
      <w:r>
        <w:rPr>
          <w:rFonts w:hint="eastAsia" w:ascii="宋体"/>
          <w:b/>
          <w:color w:val="000000"/>
          <w:sz w:val="30"/>
          <w:szCs w:val="30"/>
        </w:rPr>
        <w:t> </w:t>
      </w:r>
      <w:r>
        <w:rPr>
          <w:rFonts w:hint="eastAsia" w:ascii="仿宋" w:hAnsi="仿宋" w:eastAsia="仿宋" w:cs="仿宋"/>
          <w:color w:val="000000"/>
          <w:spacing w:val="-4"/>
          <w:sz w:val="28"/>
          <w:szCs w:val="28"/>
        </w:rPr>
        <w:t></w:t>
      </w:r>
      <w:r>
        <w:rPr>
          <w:rFonts w:hint="eastAsia" w:ascii="MS Mincho" w:hAnsi="MS Mincho" w:cs="MS Mincho"/>
          <w:color w:val="000000"/>
          <w:spacing w:val="-4"/>
          <w:sz w:val="28"/>
          <w:szCs w:val="28"/>
        </w:rPr>
        <w:t>（</w:t>
      </w:r>
      <w:r>
        <w:rPr>
          <w:rFonts w:hint="eastAsia" w:ascii="宋体" w:hAnsi="宋体"/>
          <w:color w:val="000000"/>
          <w:spacing w:val="-4"/>
          <w:sz w:val="28"/>
          <w:szCs w:val="28"/>
        </w:rPr>
        <w:t>1）公开的原则：考核过程公开化、制度化；（ 2）客观性原则：用事实标准说话，切忌带入个人主观因素或武断猜想；（ 3）反馈的原则：在考核结束后，考核结果必须反馈给被考核项目负责人，同时听取被核考项目负责人对考核结果的意见，对考核结果存在的问题作出合理解释或及时修正；（ 4）时限性原则：绩效考核反映考核期内被考核项目负责人的综合状况，不溯及本考核期之前的行为，不能以考核期内被考核项目部分表现代替其整体业绩。</w:t>
      </w:r>
    </w:p>
    <w:p>
      <w:pPr>
        <w:numPr>
          <w:ilvl w:val="0"/>
          <w:numId w:val="7"/>
        </w:numPr>
        <w:spacing w:line="360" w:lineRule="auto"/>
        <w:rPr>
          <w:rFonts w:hint="eastAsia" w:ascii="宋体"/>
          <w:color w:val="000000"/>
          <w:sz w:val="28"/>
          <w:szCs w:val="28"/>
        </w:rPr>
      </w:pPr>
      <w:r>
        <w:rPr>
          <w:rFonts w:hint="eastAsia" w:ascii="宋体"/>
          <w:color w:val="000000"/>
          <w:sz w:val="28"/>
          <w:szCs w:val="28"/>
        </w:rPr>
        <w:t>评价指标体系、评价方法、评价标准</w:t>
      </w:r>
    </w:p>
    <w:p>
      <w:pPr>
        <w:numPr>
          <w:ilvl w:val="0"/>
          <w:numId w:val="8"/>
        </w:numPr>
        <w:spacing w:line="360" w:lineRule="auto"/>
        <w:rPr>
          <w:rFonts w:hint="eastAsia" w:ascii="宋体" w:hAnsi="宋体"/>
          <w:color w:val="000000"/>
          <w:spacing w:val="-4"/>
          <w:sz w:val="28"/>
          <w:szCs w:val="28"/>
        </w:rPr>
      </w:pPr>
      <w:r>
        <w:rPr>
          <w:rFonts w:hint="eastAsia" w:ascii="宋体"/>
          <w:color w:val="000000"/>
          <w:sz w:val="28"/>
          <w:szCs w:val="28"/>
        </w:rPr>
        <w:t>评价指标体系：</w:t>
      </w:r>
      <w:r>
        <w:rPr>
          <w:rFonts w:hint="eastAsia" w:ascii="宋体" w:hAnsi="宋体"/>
          <w:color w:val="000000"/>
          <w:spacing w:val="-4"/>
          <w:sz w:val="28"/>
          <w:szCs w:val="28"/>
        </w:rPr>
        <w:t>根据绩效评价的基本原理、原则和项目特点，结合财政部《预算绩效评价共性指标体系框架》等文件精神及项目的具体特点，设置了绩效评价指标。</w:t>
      </w:r>
    </w:p>
    <w:p>
      <w:pPr>
        <w:spacing w:line="360" w:lineRule="auto"/>
        <w:ind w:firstLine="3080" w:firstLineChars="1100"/>
        <w:rPr>
          <w:rFonts w:hint="eastAsia" w:ascii="宋体"/>
          <w:color w:val="000000"/>
          <w:sz w:val="28"/>
          <w:szCs w:val="28"/>
        </w:rPr>
      </w:pPr>
      <w:r>
        <w:rPr>
          <w:rFonts w:hint="eastAsia" w:ascii="宋体"/>
          <w:color w:val="000000"/>
          <w:sz w:val="28"/>
          <w:szCs w:val="28"/>
        </w:rPr>
        <w:t>具体目标绩效指标表</w:t>
      </w:r>
    </w:p>
    <w:tbl>
      <w:tblPr>
        <w:tblStyle w:val="6"/>
        <w:tblW w:w="472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1387"/>
        <w:gridCol w:w="1963"/>
        <w:gridCol w:w="1247"/>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61"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861"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1218"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774"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分值权重</w:t>
            </w:r>
          </w:p>
        </w:tc>
        <w:tc>
          <w:tcPr>
            <w:tcW w:w="1583"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决策　</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8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项目立项　</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立项依据</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充分性</w:t>
            </w:r>
          </w:p>
        </w:tc>
        <w:tc>
          <w:tcPr>
            <w:tcW w:w="774"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c>
          <w:tcPr>
            <w:tcW w:w="1583" w:type="pct"/>
            <w:shd w:val="clear" w:color="auto" w:fill="FFFFFF"/>
            <w:noWrap w:val="0"/>
            <w:vAlign w:val="center"/>
          </w:tcPr>
          <w:p>
            <w:pPr>
              <w:widowControl/>
              <w:spacing w:line="240" w:lineRule="exact"/>
              <w:jc w:val="left"/>
              <w:rPr>
                <w:rFonts w:hint="eastAsia" w:ascii="方正书宋简体" w:hAnsi="黑体" w:cs="宋体"/>
                <w:color w:val="000000"/>
                <w:kern w:val="0"/>
                <w:szCs w:val="21"/>
              </w:rPr>
            </w:pPr>
            <w:r>
              <w:rPr>
                <w:rFonts w:hint="eastAsia" w:ascii="宋体" w:hAnsi="宋体" w:cs="宋体"/>
                <w:color w:val="000000"/>
                <w:kern w:val="0"/>
                <w:sz w:val="18"/>
                <w:szCs w:val="18"/>
              </w:rPr>
              <w:t>项目立项充分得2份，否则不得分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立项程序</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规范性</w:t>
            </w:r>
          </w:p>
        </w:tc>
        <w:tc>
          <w:tcPr>
            <w:tcW w:w="774"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c>
          <w:tcPr>
            <w:tcW w:w="1583"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项目申请、设立过程是否符合相关要求得2份，否则不得分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　</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774"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c>
          <w:tcPr>
            <w:tcW w:w="1583" w:type="pct"/>
            <w:shd w:val="clear" w:color="000000" w:fill="FFFFFF"/>
            <w:noWrap w:val="0"/>
            <w:vAlign w:val="center"/>
          </w:tcPr>
          <w:p>
            <w:pPr>
              <w:widowControl/>
              <w:spacing w:line="240" w:lineRule="exact"/>
              <w:jc w:val="left"/>
              <w:rPr>
                <w:rFonts w:hint="eastAsia" w:ascii="方正书宋简体" w:hAnsi="黑体" w:cs="宋体"/>
                <w:color w:val="000000"/>
                <w:kern w:val="0"/>
                <w:szCs w:val="21"/>
              </w:rPr>
            </w:pPr>
            <w:r>
              <w:rPr>
                <w:rFonts w:hint="eastAsia" w:ascii="宋体" w:hAnsi="宋体" w:cs="宋体"/>
                <w:color w:val="000000"/>
                <w:kern w:val="0"/>
                <w:sz w:val="18"/>
                <w:szCs w:val="18"/>
              </w:rPr>
              <w:t>项目所设定的绩效目标是否依据充分，是否符合客观实际得2份，否则一个不明确扣除0.5分。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明确性</w:t>
            </w:r>
          </w:p>
        </w:tc>
        <w:tc>
          <w:tcPr>
            <w:tcW w:w="774"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br w:type="textWrapping"/>
            </w:r>
            <w:r>
              <w:rPr>
                <w:rFonts w:hint="eastAsia" w:ascii="方正书宋简体" w:hAnsi="黑体" w:eastAsia="方正书宋简体" w:cs="宋体"/>
                <w:color w:val="000000"/>
                <w:kern w:val="0"/>
                <w:szCs w:val="21"/>
              </w:rPr>
              <w:t>2</w:t>
            </w:r>
          </w:p>
        </w:tc>
        <w:tc>
          <w:tcPr>
            <w:tcW w:w="1583" w:type="pct"/>
            <w:shd w:val="clear" w:color="000000"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依据绩效目标设定的绩效指标是否清晰、细化、可衡得2份，否则一个不明确扣除0.5分。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科学性</w:t>
            </w:r>
          </w:p>
        </w:tc>
        <w:tc>
          <w:tcPr>
            <w:tcW w:w="774"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1583"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项目预算编制是否经过科学论证、有明确标准，资金额度与年度目标是否相适应得4份，否则不得分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kern w:val="0"/>
                <w:szCs w:val="21"/>
              </w:rPr>
            </w:pPr>
            <w:r>
              <w:rPr>
                <w:rFonts w:hint="eastAsia" w:ascii="方正书宋简体" w:hAnsi="黑体" w:eastAsia="方正书宋简体" w:cs="宋体"/>
                <w:kern w:val="0"/>
                <w:szCs w:val="21"/>
              </w:rPr>
              <w:t>资金分配</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kern w:val="0"/>
                <w:szCs w:val="21"/>
              </w:rPr>
              <w:t>合理性</w:t>
            </w:r>
          </w:p>
        </w:tc>
        <w:tc>
          <w:tcPr>
            <w:tcW w:w="774"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项目预算资金分配是否有测算依据得3份，否则一个不明确扣除0.5分。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8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774"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宋体" w:hAnsi="宋体" w:cs="宋体"/>
                <w:color w:val="000000"/>
                <w:kern w:val="0"/>
                <w:sz w:val="18"/>
                <w:szCs w:val="18"/>
              </w:rPr>
              <w:t>实际到位资金÷全年预算数×100%。</w:t>
            </w:r>
            <w:r>
              <w:rPr>
                <w:rFonts w:hint="eastAsia" w:ascii="方正书宋简体" w:hAnsi="黑体" w:eastAsia="方正书宋简体" w:cs="宋体"/>
                <w:color w:val="000000"/>
                <w:kern w:val="0"/>
                <w:szCs w:val="21"/>
              </w:rPr>
              <w:t>≥90%得3分，介于80%-90%得2分，后每少10%扣0.5分，低于60%不得分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774"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全年执行数÷全年预算数×100%。</w:t>
            </w:r>
            <w:r>
              <w:rPr>
                <w:rFonts w:hint="eastAsia" w:ascii="方正书宋简体" w:hAnsi="黑体" w:eastAsia="方正书宋简体" w:cs="宋体"/>
                <w:color w:val="000000"/>
                <w:kern w:val="0"/>
                <w:szCs w:val="21"/>
              </w:rPr>
              <w:t>≥90%得3分，介于80%-90%得2分，后每少10%扣0.5分，低于60%不得分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资金使用</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合规性</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资金使用符合相关的财务管理制度规定，专款专用得3分，否则一个不明确扣除0.5分。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健全性</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w:t>
            </w:r>
          </w:p>
          <w:p>
            <w:pPr>
              <w:widowControl/>
              <w:spacing w:line="240" w:lineRule="exact"/>
              <w:rPr>
                <w:rFonts w:hint="eastAsia" w:ascii="方正书宋简体" w:hAnsi="黑体" w:cs="宋体"/>
                <w:color w:val="000000"/>
                <w:kern w:val="0"/>
                <w:szCs w:val="21"/>
              </w:rPr>
            </w:pPr>
            <w:r>
              <w:rPr>
                <w:rFonts w:hint="eastAsia" w:ascii="方正书宋简体" w:hAnsi="黑体" w:eastAsia="方正书宋简体" w:cs="宋体"/>
                <w:color w:val="000000"/>
                <w:kern w:val="0"/>
                <w:szCs w:val="21"/>
              </w:rPr>
              <w:t>健全性</w:t>
            </w:r>
            <w:r>
              <w:rPr>
                <w:rFonts w:hint="eastAsia" w:ascii="宋体" w:hAnsi="宋体" w:cs="宋体"/>
                <w:color w:val="000000"/>
                <w:kern w:val="0"/>
                <w:sz w:val="18"/>
                <w:szCs w:val="18"/>
              </w:rPr>
              <w:t>得3分，否则一个不明确扣除0.5分。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kern w:val="0"/>
                <w:szCs w:val="21"/>
              </w:rPr>
            </w:pPr>
            <w:r>
              <w:rPr>
                <w:rFonts w:hint="eastAsia" w:ascii="方正书宋简体" w:hAnsi="黑体" w:eastAsia="方正书宋简体" w:cs="宋体"/>
                <w:kern w:val="0"/>
                <w:szCs w:val="21"/>
              </w:rPr>
              <w:t>制度执行</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kern w:val="0"/>
                <w:szCs w:val="21"/>
              </w:rPr>
              <w:t>有效性</w:t>
            </w:r>
          </w:p>
        </w:tc>
        <w:tc>
          <w:tcPr>
            <w:tcW w:w="774" w:type="pct"/>
            <w:shd w:val="clear" w:color="000000" w:fill="FFFFFF"/>
            <w:noWrap w:val="0"/>
            <w:vAlign w:val="center"/>
          </w:tcPr>
          <w:p>
            <w:pPr>
              <w:widowControl/>
              <w:spacing w:line="240" w:lineRule="exact"/>
              <w:ind w:firstLine="420" w:firstLineChars="200"/>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rPr>
                <w:rFonts w:hint="eastAsia" w:ascii="方正书宋简体" w:hAnsi="黑体" w:cs="宋体"/>
                <w:color w:val="000000"/>
                <w:kern w:val="0"/>
                <w:szCs w:val="21"/>
              </w:rPr>
            </w:pPr>
            <w:r>
              <w:rPr>
                <w:rFonts w:hint="eastAsia" w:ascii="方正书宋简体" w:hAnsi="黑体" w:eastAsia="方正书宋简体" w:cs="宋体"/>
                <w:kern w:val="0"/>
                <w:szCs w:val="21"/>
              </w:rPr>
              <w:t>制度执行有效</w:t>
            </w:r>
            <w:r>
              <w:rPr>
                <w:rFonts w:hint="eastAsia" w:ascii="方正书宋简体" w:hAnsi="黑体" w:eastAsia="方正书宋简体" w:cs="宋体"/>
                <w:color w:val="000000"/>
                <w:kern w:val="0"/>
                <w:szCs w:val="21"/>
              </w:rPr>
              <w:t>≥90%得3分，</w:t>
            </w:r>
            <w:r>
              <w:rPr>
                <w:rFonts w:hint="eastAsia" w:ascii="宋体" w:hAnsi="宋体" w:cs="宋体"/>
                <w:color w:val="000000"/>
                <w:kern w:val="0"/>
                <w:sz w:val="18"/>
                <w:szCs w:val="18"/>
              </w:rPr>
              <w:t>否则一个不明确扣除1分。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产出数量</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指标1：对辖区医疗机构培训次数</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对辖区医疗机构培训次数3次，得3分，</w:t>
            </w:r>
            <w:r>
              <w:rPr>
                <w:rFonts w:hint="eastAsia" w:ascii="宋体" w:hAnsi="宋体" w:cs="宋体"/>
                <w:color w:val="000000"/>
                <w:kern w:val="0"/>
                <w:sz w:val="18"/>
                <w:szCs w:val="18"/>
              </w:rPr>
              <w:t>否则少1次扣1分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w:t>
            </w: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指标2：对辖区医疗机构培训人数</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对辖区医疗机构培训人数28人得3分，</w:t>
            </w:r>
            <w:r>
              <w:rPr>
                <w:rFonts w:hint="eastAsia" w:ascii="宋体" w:hAnsi="宋体" w:cs="宋体"/>
                <w:color w:val="000000"/>
                <w:kern w:val="0"/>
                <w:sz w:val="18"/>
                <w:szCs w:val="18"/>
              </w:rPr>
              <w:t>否则少12人扣1分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指标1：全人群HIV抗体检测率</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黑体" w:cs="宋体"/>
                <w:color w:val="000000"/>
                <w:kern w:val="0"/>
                <w:szCs w:val="21"/>
              </w:rPr>
            </w:pPr>
            <w:r>
              <w:rPr>
                <w:rFonts w:hint="eastAsia" w:ascii="方正书宋简体" w:hAnsi="黑体" w:eastAsia="方正书宋简体" w:cs="宋体"/>
                <w:color w:val="000000"/>
                <w:kern w:val="0"/>
                <w:szCs w:val="21"/>
              </w:rPr>
              <w:t>全人群HIV抗体检测率</w:t>
            </w:r>
            <w:r>
              <w:rPr>
                <w:rFonts w:hint="eastAsia" w:ascii="黑体" w:hAnsi="黑体" w:eastAsia="黑体" w:cs="黑体"/>
                <w:sz w:val="18"/>
                <w:szCs w:val="18"/>
              </w:rPr>
              <w:t>≥20%，</w:t>
            </w:r>
            <w:r>
              <w:rPr>
                <w:rFonts w:hint="eastAsia" w:ascii="宋体" w:hAnsi="宋体" w:cs="宋体"/>
                <w:color w:val="000000"/>
                <w:kern w:val="0"/>
                <w:sz w:val="18"/>
                <w:szCs w:val="18"/>
              </w:rPr>
              <w:t>否则每少5%处扣1分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指标2：新发现及既往报告病例的配偶和固定性伴HIV抗体检测率</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新发现及既往报告病例的配偶和固定性伴HIV抗体检测率≥95%得3分，</w:t>
            </w:r>
            <w:r>
              <w:rPr>
                <w:rFonts w:hint="eastAsia" w:ascii="宋体" w:hAnsi="宋体" w:cs="宋体"/>
                <w:color w:val="000000"/>
                <w:kern w:val="0"/>
                <w:sz w:val="18"/>
                <w:szCs w:val="18"/>
              </w:rPr>
              <w:t>否则每少10%处扣1分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指标3：未治疗的艾滋病感染者/病人随访检测比例</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未治疗的艾滋病感染者/病人随访检测比例≥93%得3分，</w:t>
            </w:r>
            <w:r>
              <w:rPr>
                <w:rFonts w:hint="eastAsia" w:ascii="宋体" w:hAnsi="宋体" w:cs="宋体"/>
                <w:color w:val="000000"/>
                <w:kern w:val="0"/>
                <w:sz w:val="18"/>
                <w:szCs w:val="18"/>
              </w:rPr>
              <w:t>否则每少10%处扣1分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指标4：在治病人的CD4和病毒载量检测率</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在治病人的CD4和病毒载量检测率93%得3分，</w:t>
            </w:r>
            <w:r>
              <w:rPr>
                <w:rFonts w:hint="eastAsia" w:ascii="宋体" w:hAnsi="宋体" w:cs="宋体"/>
                <w:color w:val="000000"/>
                <w:kern w:val="0"/>
                <w:sz w:val="18"/>
                <w:szCs w:val="18"/>
              </w:rPr>
              <w:t>否则每少10%处扣1分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指标5：感染者、病人接受结核病检查比例</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感染者、病人接受结核病检查比例≥95%得3分，</w:t>
            </w:r>
            <w:r>
              <w:rPr>
                <w:rFonts w:hint="eastAsia" w:ascii="宋体" w:hAnsi="宋体" w:cs="宋体"/>
                <w:color w:val="000000"/>
                <w:kern w:val="0"/>
                <w:sz w:val="18"/>
                <w:szCs w:val="18"/>
              </w:rPr>
              <w:t>否则每少10%处扣1分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指标6：居民艾滋病防治知识知晓率</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居民艾滋病防治知识知晓率≥85%得3分，</w:t>
            </w:r>
            <w:r>
              <w:rPr>
                <w:rFonts w:hint="eastAsia" w:ascii="宋体" w:hAnsi="宋体" w:cs="宋体"/>
                <w:color w:val="000000"/>
                <w:kern w:val="0"/>
                <w:sz w:val="18"/>
                <w:szCs w:val="18"/>
              </w:rPr>
              <w:t>否则每少10%处扣1分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指标7：流动人口、青年学生、监管场所被监管人员等重点人群以及易感染艾滋病危险行为人群防治知识知晓率</w:t>
            </w:r>
          </w:p>
        </w:tc>
        <w:tc>
          <w:tcPr>
            <w:tcW w:w="774"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58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流动人口、青年学生、监管场所被监管人员等重点人群以及易感染艾滋病危险行为人群防治知识知晓率≥95%得3分，</w:t>
            </w:r>
            <w:r>
              <w:rPr>
                <w:rFonts w:hint="eastAsia" w:ascii="宋体" w:hAnsi="宋体" w:cs="宋体"/>
                <w:color w:val="000000"/>
                <w:kern w:val="0"/>
                <w:sz w:val="18"/>
                <w:szCs w:val="18"/>
              </w:rPr>
              <w:t>否则每少10%处扣1分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产出时效</w:t>
            </w:r>
          </w:p>
        </w:tc>
        <w:tc>
          <w:tcPr>
            <w:tcW w:w="1218"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艾滋病和性病防治及时性</w:t>
            </w:r>
          </w:p>
        </w:tc>
        <w:tc>
          <w:tcPr>
            <w:tcW w:w="774" w:type="pct"/>
            <w:shd w:val="clear" w:color="000000"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83" w:type="pct"/>
            <w:shd w:val="clear" w:color="000000"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艾滋病和性病防治及时性，</w:t>
            </w:r>
            <w:r>
              <w:rPr>
                <w:rFonts w:ascii="方正书宋简体" w:hAnsi="黑体" w:eastAsia="方正书宋简体" w:cs="宋体"/>
                <w:color w:val="000000"/>
                <w:kern w:val="0"/>
                <w:szCs w:val="21"/>
              </w:rPr>
              <w:t>及时性</w:t>
            </w:r>
            <w:r>
              <w:rPr>
                <w:rFonts w:hint="eastAsia" w:ascii="方正书宋简体" w:hAnsi="黑体" w:eastAsia="方正书宋简体" w:cs="宋体"/>
                <w:color w:val="000000"/>
                <w:kern w:val="0"/>
                <w:szCs w:val="21"/>
              </w:rPr>
              <w:t>得4分，</w:t>
            </w:r>
            <w:r>
              <w:rPr>
                <w:rFonts w:hint="eastAsia" w:ascii="宋体" w:hAnsi="宋体" w:cs="宋体"/>
                <w:color w:val="000000"/>
                <w:kern w:val="0"/>
                <w:sz w:val="18"/>
                <w:szCs w:val="18"/>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p>
        </w:tc>
        <w:tc>
          <w:tcPr>
            <w:tcW w:w="1218"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kern w:val="0"/>
                <w:sz w:val="18"/>
                <w:szCs w:val="18"/>
              </w:rPr>
              <w:t>艾滋病和性病防治成本</w:t>
            </w:r>
          </w:p>
        </w:tc>
        <w:tc>
          <w:tcPr>
            <w:tcW w:w="774" w:type="pct"/>
            <w:shd w:val="clear" w:color="000000"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583" w:type="pct"/>
            <w:shd w:val="clear" w:color="000000"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年末成本不超过预算每超过10%扣0.5分，直到扣完。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社会效益</w:t>
            </w:r>
          </w:p>
        </w:tc>
        <w:tc>
          <w:tcPr>
            <w:tcW w:w="1218"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1：贫困艾滋病患者免费救治工作任务指标2：艾滋病的防控教育(%)3.公共服务水平提高</w:t>
            </w:r>
          </w:p>
        </w:tc>
        <w:tc>
          <w:tcPr>
            <w:tcW w:w="774" w:type="pct"/>
            <w:shd w:val="clear" w:color="auto"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583"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eastAsia="方正书宋简体" w:cs="宋体"/>
                <w:color w:val="000000"/>
                <w:kern w:val="0"/>
                <w:sz w:val="18"/>
                <w:szCs w:val="18"/>
              </w:rPr>
              <w:t>逐年提高得满分，</w:t>
            </w:r>
            <w:r>
              <w:rPr>
                <w:rFonts w:hint="eastAsia" w:ascii="宋体" w:hAnsi="宋体" w:cs="宋体"/>
                <w:color w:val="000000"/>
                <w:kern w:val="0"/>
                <w:sz w:val="18"/>
                <w:szCs w:val="18"/>
              </w:rPr>
              <w:t>否则每少10%处扣1分。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生态效益</w:t>
            </w:r>
          </w:p>
        </w:tc>
        <w:tc>
          <w:tcPr>
            <w:tcW w:w="1218"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办公资源循环利用率(%)</w:t>
            </w:r>
          </w:p>
        </w:tc>
        <w:tc>
          <w:tcPr>
            <w:tcW w:w="774" w:type="pct"/>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5</w:t>
            </w:r>
          </w:p>
        </w:tc>
        <w:tc>
          <w:tcPr>
            <w:tcW w:w="1583" w:type="pc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≥90%得满分，80%-90%得3分，小于80%不得分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可持续效益</w:t>
            </w:r>
          </w:p>
        </w:tc>
        <w:tc>
          <w:tcPr>
            <w:tcW w:w="1218"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通过综合分析项目近三年的资金情况和绩效情况，项目在财政资金支持下，可持续发展。</w:t>
            </w:r>
          </w:p>
        </w:tc>
        <w:tc>
          <w:tcPr>
            <w:tcW w:w="774" w:type="pct"/>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c>
          <w:tcPr>
            <w:tcW w:w="1583" w:type="pc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可持续发展得满分，</w:t>
            </w:r>
            <w:r>
              <w:rPr>
                <w:rFonts w:hint="eastAsia" w:ascii="宋体" w:hAnsi="宋体" w:cs="宋体"/>
                <w:color w:val="000000"/>
                <w:kern w:val="0"/>
                <w:sz w:val="18"/>
                <w:szCs w:val="18"/>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满意度</w:t>
            </w:r>
          </w:p>
        </w:tc>
        <w:tc>
          <w:tcPr>
            <w:tcW w:w="861"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p>
        </w:tc>
        <w:tc>
          <w:tcPr>
            <w:tcW w:w="121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宋体" w:hAnsi="宋体" w:cs="宋体"/>
                <w:color w:val="000000"/>
                <w:kern w:val="0"/>
                <w:sz w:val="18"/>
                <w:szCs w:val="18"/>
              </w:rPr>
              <w:t>满意度</w:t>
            </w:r>
          </w:p>
        </w:tc>
        <w:tc>
          <w:tcPr>
            <w:tcW w:w="774" w:type="pct"/>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c>
          <w:tcPr>
            <w:tcW w:w="1583" w:type="pc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宋体" w:hAnsi="宋体" w:cs="宋体"/>
                <w:color w:val="000000"/>
                <w:kern w:val="0"/>
                <w:sz w:val="18"/>
                <w:szCs w:val="18"/>
              </w:rPr>
              <w:t>社会公众或服务对象对项目实施效果的满意程度</w:t>
            </w:r>
            <w:r>
              <w:rPr>
                <w:rFonts w:hint="eastAsia" w:ascii="方正书宋简体" w:hAnsi="黑体" w:eastAsia="方正书宋简体" w:cs="宋体"/>
                <w:color w:val="000000"/>
                <w:kern w:val="0"/>
                <w:szCs w:val="21"/>
              </w:rPr>
              <w:t>≥85%,得满分，</w:t>
            </w:r>
            <w:r>
              <w:rPr>
                <w:rFonts w:hint="eastAsia" w:ascii="宋体" w:hAnsi="宋体" w:cs="宋体"/>
                <w:color w:val="000000"/>
                <w:kern w:val="0"/>
                <w:sz w:val="18"/>
                <w:szCs w:val="18"/>
              </w:rPr>
              <w:t>否则不得分</w:t>
            </w:r>
          </w:p>
        </w:tc>
      </w:tr>
    </w:tbl>
    <w:p>
      <w:pPr>
        <w:spacing w:line="360" w:lineRule="auto"/>
        <w:ind w:firstLine="1120" w:firstLineChars="400"/>
        <w:rPr>
          <w:rFonts w:hint="eastAsia" w:ascii="宋体"/>
          <w:color w:val="000000"/>
          <w:sz w:val="28"/>
          <w:szCs w:val="28"/>
        </w:rPr>
      </w:pPr>
    </w:p>
    <w:p>
      <w:pPr>
        <w:spacing w:line="360" w:lineRule="auto"/>
        <w:jc w:val="left"/>
        <w:rPr>
          <w:rFonts w:hint="eastAsia" w:ascii="宋体"/>
          <w:color w:val="000000"/>
          <w:sz w:val="28"/>
          <w:szCs w:val="28"/>
        </w:rPr>
      </w:pPr>
      <w:r>
        <w:rPr>
          <w:rFonts w:hint="eastAsia" w:ascii="宋体"/>
          <w:color w:val="000000"/>
          <w:sz w:val="28"/>
          <w:szCs w:val="28"/>
        </w:rPr>
        <w:t>（2）评价方法：</w:t>
      </w:r>
    </w:p>
    <w:p>
      <w:pPr>
        <w:pStyle w:val="5"/>
        <w:widowControl/>
        <w:rPr>
          <w:rFonts w:hint="eastAsia" w:ascii="宋体"/>
          <w:color w:val="000000"/>
          <w:sz w:val="28"/>
          <w:szCs w:val="28"/>
        </w:rPr>
      </w:pPr>
      <w:r>
        <w:rPr>
          <w:rFonts w:hint="eastAsia" w:ascii="宋体"/>
          <w:color w:val="000000"/>
          <w:sz w:val="28"/>
          <w:szCs w:val="28"/>
        </w:rPr>
        <w:t xml:space="preserve">     我单位绩效评估方法采用</w:t>
      </w:r>
      <w:r>
        <w:rPr>
          <w:sz w:val="30"/>
          <w:szCs w:val="30"/>
        </w:rPr>
        <w:t>目标管理法</w:t>
      </w:r>
      <w:r>
        <w:rPr>
          <w:rFonts w:hint="eastAsia"/>
          <w:sz w:val="30"/>
          <w:szCs w:val="30"/>
        </w:rPr>
        <w:t>和</w:t>
      </w:r>
      <w:r>
        <w:rPr>
          <w:sz w:val="30"/>
          <w:szCs w:val="30"/>
        </w:rPr>
        <w:t>关键绩效指标法</w:t>
      </w:r>
      <w:r>
        <w:rPr>
          <w:rFonts w:hint="eastAsia"/>
          <w:sz w:val="30"/>
          <w:szCs w:val="30"/>
        </w:rPr>
        <w:t>相结合的</w:t>
      </w:r>
      <w:r>
        <w:rPr>
          <w:rFonts w:hint="eastAsia" w:ascii="宋体"/>
          <w:color w:val="000000"/>
          <w:sz w:val="28"/>
          <w:szCs w:val="28"/>
        </w:rPr>
        <w:t>评价方法。</w:t>
      </w:r>
    </w:p>
    <w:p>
      <w:pPr>
        <w:spacing w:line="360" w:lineRule="auto"/>
        <w:rPr>
          <w:rFonts w:hint="eastAsia" w:ascii="宋体"/>
          <w:color w:val="000000"/>
          <w:sz w:val="28"/>
          <w:szCs w:val="28"/>
        </w:rPr>
      </w:pPr>
      <w:r>
        <w:rPr>
          <w:rFonts w:hint="eastAsia" w:ascii="宋体"/>
          <w:color w:val="000000"/>
          <w:sz w:val="28"/>
          <w:szCs w:val="28"/>
        </w:rPr>
        <w:t>（3）评价标准：</w:t>
      </w:r>
    </w:p>
    <w:p>
      <w:pPr>
        <w:pStyle w:val="5"/>
        <w:widowControl/>
        <w:ind w:firstLine="840" w:firstLineChars="300"/>
        <w:rPr>
          <w:rFonts w:hint="eastAsia" w:ascii="宋体"/>
          <w:color w:val="000000"/>
          <w:sz w:val="28"/>
          <w:szCs w:val="28"/>
        </w:rPr>
      </w:pPr>
      <w:r>
        <w:rPr>
          <w:rFonts w:hint="eastAsia" w:ascii="宋体"/>
          <w:color w:val="000000"/>
          <w:sz w:val="28"/>
          <w:szCs w:val="28"/>
        </w:rPr>
        <w:t>我单位对照项目年初制定各项绩效指标尤其对</w:t>
      </w:r>
      <w:r>
        <w:rPr>
          <w:sz w:val="30"/>
          <w:szCs w:val="30"/>
        </w:rPr>
        <w:t>关键绩效指标</w:t>
      </w:r>
      <w:r>
        <w:rPr>
          <w:rFonts w:hint="eastAsia"/>
          <w:sz w:val="30"/>
          <w:szCs w:val="30"/>
        </w:rPr>
        <w:t>逐项评价，最后形成得分和评价报告。</w:t>
      </w:r>
    </w:p>
    <w:p>
      <w:pPr>
        <w:spacing w:line="360" w:lineRule="auto"/>
        <w:jc w:val="left"/>
        <w:rPr>
          <w:rFonts w:hint="eastAsia" w:ascii="宋体"/>
          <w:b/>
          <w:color w:val="000000"/>
          <w:sz w:val="30"/>
          <w:szCs w:val="30"/>
        </w:rPr>
      </w:pPr>
      <w:r>
        <w:rPr>
          <w:rFonts w:hint="eastAsia" w:ascii="宋体"/>
          <w:b/>
          <w:color w:val="000000"/>
          <w:sz w:val="30"/>
          <w:szCs w:val="30"/>
        </w:rPr>
        <w:t>（三）绩效评价工作过程</w:t>
      </w:r>
    </w:p>
    <w:p>
      <w:pPr>
        <w:spacing w:line="360" w:lineRule="auto"/>
        <w:ind w:firstLine="408" w:firstLineChars="150"/>
        <w:jc w:val="left"/>
        <w:rPr>
          <w:rFonts w:hint="eastAsia" w:ascii="宋体" w:hAnsi="宋体"/>
          <w:color w:val="000000"/>
          <w:spacing w:val="-4"/>
          <w:sz w:val="28"/>
          <w:szCs w:val="28"/>
        </w:rPr>
      </w:pPr>
      <w:r>
        <w:rPr>
          <w:rFonts w:hint="eastAsia" w:ascii="MS Mincho" w:hAnsi="MS Mincho" w:cs="MS Mincho"/>
          <w:color w:val="000000"/>
          <w:spacing w:val="-4"/>
          <w:sz w:val="28"/>
          <w:szCs w:val="28"/>
        </w:rPr>
        <w:t>区卫健委和区疾控中心高度重视项目绩效评估工作，为了有效开展此次工作，区卫健委和区疾控中心抽调相关科室人员参加了此次评估。他们仔细审查、核对和询问相关的原始数据，</w:t>
      </w:r>
      <w:r>
        <w:rPr>
          <w:rFonts w:hint="eastAsia" w:ascii="宋体" w:hAnsi="宋体"/>
          <w:color w:val="000000"/>
          <w:spacing w:val="-4"/>
          <w:sz w:val="28"/>
          <w:szCs w:val="28"/>
        </w:rPr>
        <w:t>同时认真听取被核考项目负责人对考核结果的意见，形成了一份完整的绩效评估报告。</w:t>
      </w:r>
    </w:p>
    <w:p>
      <w:pPr>
        <w:numPr>
          <w:ilvl w:val="0"/>
          <w:numId w:val="9"/>
        </w:numPr>
        <w:snapToGrid w:val="0"/>
        <w:spacing w:line="360" w:lineRule="auto"/>
        <w:jc w:val="left"/>
        <w:rPr>
          <w:rFonts w:hint="eastAsia" w:ascii="宋体" w:hAnsi="Times New Roman"/>
          <w:b/>
          <w:color w:val="000000"/>
          <w:spacing w:val="-4"/>
          <w:sz w:val="30"/>
          <w:szCs w:val="30"/>
        </w:rPr>
      </w:pPr>
      <w:r>
        <w:rPr>
          <w:rFonts w:hint="eastAsia" w:ascii="宋体"/>
          <w:b/>
          <w:color w:val="000000"/>
          <w:spacing w:val="-4"/>
          <w:sz w:val="30"/>
          <w:szCs w:val="30"/>
        </w:rPr>
        <w:t>综合评价情况及评价</w:t>
      </w:r>
      <w:r>
        <w:rPr>
          <w:rFonts w:hint="eastAsia" w:ascii="宋体" w:hAnsi="Times New Roman"/>
          <w:b/>
          <w:color w:val="000000"/>
          <w:spacing w:val="-4"/>
          <w:sz w:val="30"/>
          <w:szCs w:val="30"/>
        </w:rPr>
        <w:t>结论（附相关评分表，评分表详见附件）</w:t>
      </w:r>
    </w:p>
    <w:p>
      <w:pPr>
        <w:spacing w:line="360" w:lineRule="auto"/>
        <w:ind w:firstLine="408" w:firstLineChars="150"/>
        <w:jc w:val="left"/>
        <w:rPr>
          <w:rFonts w:hint="eastAsia" w:ascii="宋体"/>
          <w:b/>
          <w:color w:val="000000"/>
          <w:spacing w:val="-4"/>
          <w:sz w:val="30"/>
          <w:szCs w:val="30"/>
        </w:rPr>
      </w:pPr>
      <w:r>
        <w:rPr>
          <w:rFonts w:hint="eastAsia" w:ascii="MS Mincho" w:hAnsi="MS Mincho" w:cs="MS Mincho"/>
          <w:color w:val="000000"/>
          <w:spacing w:val="-4"/>
          <w:sz w:val="28"/>
          <w:szCs w:val="28"/>
        </w:rPr>
        <w:t>评价组围绕绩效评价指标体系，通过数据采集分析，财务核查、实地核查及深度访谈等方式，对该项目绩效进行了客观、公正、合理、有效的评价，最终评价结果为 96.5 分，依据财政绩效评价等级划分，本项目绩效评价等级为“优”。</w:t>
      </w:r>
    </w:p>
    <w:p>
      <w:pPr>
        <w:numPr>
          <w:ilvl w:val="0"/>
          <w:numId w:val="9"/>
        </w:numPr>
        <w:snapToGrid w:val="0"/>
        <w:spacing w:line="360" w:lineRule="auto"/>
        <w:rPr>
          <w:rFonts w:hint="eastAsia" w:ascii="宋体"/>
          <w:b/>
          <w:color w:val="000000"/>
          <w:spacing w:val="-4"/>
          <w:sz w:val="30"/>
          <w:szCs w:val="30"/>
        </w:rPr>
      </w:pPr>
      <w:r>
        <w:rPr>
          <w:rFonts w:hint="eastAsia" w:ascii="宋体"/>
          <w:b/>
          <w:color w:val="000000"/>
          <w:spacing w:val="-4"/>
          <w:sz w:val="30"/>
          <w:szCs w:val="30"/>
        </w:rPr>
        <w:t>绩效评价指标分析</w:t>
      </w:r>
    </w:p>
    <w:p>
      <w:pPr>
        <w:numPr>
          <w:ilvl w:val="0"/>
          <w:numId w:val="10"/>
        </w:numPr>
        <w:snapToGrid w:val="0"/>
        <w:spacing w:line="360" w:lineRule="auto"/>
        <w:rPr>
          <w:rFonts w:hint="eastAsia" w:ascii="宋体"/>
          <w:b/>
          <w:color w:val="000000"/>
          <w:spacing w:val="-4"/>
          <w:sz w:val="30"/>
          <w:szCs w:val="30"/>
        </w:rPr>
      </w:pPr>
      <w:r>
        <w:rPr>
          <w:rFonts w:hint="eastAsia" w:ascii="宋体"/>
          <w:b/>
          <w:color w:val="000000"/>
          <w:spacing w:val="-4"/>
          <w:sz w:val="30"/>
          <w:szCs w:val="30"/>
        </w:rPr>
        <w:t>项目决策情况</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1.立项依据充分：</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①项目立项是符合国家法律法规、国民经济发展规划和相关政策；</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②项目立项是符合行业发展规划和政策要求；</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③项目立项是与部门职责范围相符，属于部门履职所需；</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④项目是属于公共财政支持范围，是符合中央、地方事权支出责任划分原则；</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⑤项目不与相关部门同类项目或部门内部相关项目重复</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2.立项程序规范：</w:t>
      </w:r>
    </w:p>
    <w:p>
      <w:pPr>
        <w:spacing w:line="360" w:lineRule="auto"/>
        <w:rPr>
          <w:rFonts w:hint="eastAsia" w:ascii="宋体" w:hAnsi="宋体" w:cs="宋体"/>
          <w:color w:val="000000"/>
          <w:kern w:val="0"/>
          <w:sz w:val="18"/>
          <w:szCs w:val="18"/>
        </w:rPr>
      </w:pPr>
      <w:r>
        <w:rPr>
          <w:rFonts w:hint="eastAsia" w:ascii="MS Mincho" w:hAnsi="MS Mincho" w:cs="MS Mincho"/>
          <w:color w:val="000000"/>
          <w:spacing w:val="-4"/>
          <w:sz w:val="28"/>
          <w:szCs w:val="28"/>
        </w:rPr>
        <w:t>①项目是按照规定的程序申请设立；</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②审批文件、材料是符合相关要求；</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③事前是已经过必要的可行性研究、专家论证、风险评估、绩效评估、集体决策</w:t>
      </w:r>
      <w:r>
        <w:rPr>
          <w:rFonts w:hint="eastAsia" w:ascii="宋体" w:hAnsi="宋体" w:cs="宋体"/>
          <w:color w:val="000000"/>
          <w:kern w:val="0"/>
          <w:sz w:val="18"/>
          <w:szCs w:val="18"/>
        </w:rPr>
        <w:t>。</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3.绩效目标合理：</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①项目有绩效目标；</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②项目绩效目标与实际工作内容是具有相关性；</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③项目预期产出效益和效果是符合正常的业绩水平；</w:t>
      </w:r>
    </w:p>
    <w:p>
      <w:pPr>
        <w:spacing w:line="360" w:lineRule="auto"/>
        <w:rPr>
          <w:rFonts w:hint="eastAsia" w:ascii="宋体" w:hAnsi="宋体" w:cs="宋体"/>
          <w:color w:val="000000"/>
          <w:kern w:val="0"/>
          <w:sz w:val="18"/>
          <w:szCs w:val="18"/>
        </w:rPr>
      </w:pPr>
      <w:r>
        <w:rPr>
          <w:rFonts w:hint="eastAsia" w:ascii="MS Mincho" w:hAnsi="MS Mincho" w:cs="MS Mincho"/>
          <w:color w:val="000000"/>
          <w:spacing w:val="-4"/>
          <w:sz w:val="28"/>
          <w:szCs w:val="28"/>
        </w:rPr>
        <w:t>④是与预算确定的项目投资额或资金量相匹配</w:t>
      </w:r>
      <w:r>
        <w:rPr>
          <w:rFonts w:hint="eastAsia" w:ascii="宋体" w:hAnsi="宋体" w:cs="宋体"/>
          <w:color w:val="000000"/>
          <w:kern w:val="0"/>
          <w:sz w:val="18"/>
          <w:szCs w:val="18"/>
        </w:rPr>
        <w:t>。</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4.绩效指标明确：</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①是将项目绩效目标细化分解为具体的绩效指标；</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②是通过清晰、可衡量的指标值予以体现；</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③是与项目目标任务数或计划数相对应。</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5.预算编制科学：</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①预算编制是经过科学论证；</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②预算内容与项目内容是匹配；</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③预算额度测算依据是充分，是按照标准编制；</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④预算确定的项目投资额或资金量是与工作任务相匹配：</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6.资金分配合理：</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①预算资金分配依据是充分；</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②资金分配额度是合理，与项目单位或地方实际是相适应。</w:t>
      </w:r>
    </w:p>
    <w:p>
      <w:pPr>
        <w:numPr>
          <w:ilvl w:val="0"/>
          <w:numId w:val="11"/>
        </w:num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项目过程情况</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1.资金到位率</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资金到位率为100%</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2.预算执行率</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预算执行率为58.32%</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3.资金使用合规</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①是符合国家财经法规和财务管理制度以及有关专项资金管理办法的规定；</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②资金的拨付是有完整的审批程序和手续；</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③是符合项目预算批复或合同规定的用途；</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④不存在截留、挤占、挪用、虚列支出等情况</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4.管理制度健全</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①已制定或具有相应的财务和业务管理制度；</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②财务和业务管理制度是合法、合规、完整。</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5.制度执行有效</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①是遵守相关法律法规和相关管理规定；</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②项目调整及支出调整手续是完备；</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③项目合同书、验收报告、技术鉴定等资料是齐全并及时归档；</w:t>
      </w:r>
      <w:r>
        <w:rPr>
          <w:rFonts w:hint="eastAsia" w:ascii="MS Mincho" w:hAnsi="MS Mincho" w:cs="MS Mincho"/>
          <w:color w:val="000000"/>
          <w:spacing w:val="-4"/>
          <w:sz w:val="28"/>
          <w:szCs w:val="28"/>
        </w:rPr>
        <w:br w:type="textWrapping"/>
      </w:r>
      <w:r>
        <w:rPr>
          <w:rFonts w:hint="eastAsia" w:ascii="MS Mincho" w:hAnsi="MS Mincho" w:cs="MS Mincho"/>
          <w:color w:val="000000"/>
          <w:spacing w:val="-4"/>
          <w:sz w:val="28"/>
          <w:szCs w:val="28"/>
        </w:rPr>
        <w:t>④项目实施的人员条件、场地设备、信息支撑等是落实到位；</w:t>
      </w:r>
    </w:p>
    <w:p>
      <w:pPr>
        <w:numPr>
          <w:ilvl w:val="0"/>
          <w:numId w:val="11"/>
        </w:num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项目产出情况</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1.实际完成率</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实际完成率100%。</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2.质量达标率</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质量达标率100%。</w:t>
      </w:r>
    </w:p>
    <w:p>
      <w:pPr>
        <w:spacing w:line="360" w:lineRule="auto"/>
        <w:rPr>
          <w:rFonts w:ascii="MS Mincho" w:hAnsi="MS Mincho" w:cs="MS Mincho"/>
          <w:color w:val="000000"/>
          <w:spacing w:val="-4"/>
          <w:sz w:val="28"/>
          <w:szCs w:val="28"/>
        </w:rPr>
      </w:pPr>
      <w:r>
        <w:rPr>
          <w:rFonts w:hint="eastAsia" w:ascii="MS Mincho" w:hAnsi="MS Mincho" w:cs="MS Mincho"/>
          <w:color w:val="000000"/>
          <w:spacing w:val="-4"/>
          <w:sz w:val="28"/>
          <w:szCs w:val="28"/>
        </w:rPr>
        <w:t>3.完成及时性</w:t>
      </w:r>
    </w:p>
    <w:p>
      <w:pPr>
        <w:spacing w:line="360" w:lineRule="auto"/>
        <w:rPr>
          <w:rFonts w:ascii="MS Mincho" w:hAnsi="MS Mincho" w:cs="MS Mincho"/>
          <w:color w:val="000000"/>
          <w:spacing w:val="-4"/>
          <w:sz w:val="28"/>
          <w:szCs w:val="28"/>
        </w:rPr>
      </w:pPr>
      <w:r>
        <w:rPr>
          <w:rFonts w:hint="eastAsia" w:ascii="MS Mincho" w:hAnsi="MS Mincho" w:cs="MS Mincho"/>
          <w:color w:val="000000"/>
          <w:spacing w:val="-4"/>
          <w:sz w:val="28"/>
          <w:szCs w:val="28"/>
        </w:rPr>
        <w:t>工作任务完成及时。</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（四）项目效益情况</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1社会效益</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1.贫困艾滋病患者免费救治工作任务指标100%；</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2.艾滋病的防控教育提高；</w:t>
      </w:r>
    </w:p>
    <w:p>
      <w:pPr>
        <w:spacing w:line="360" w:lineRule="auto"/>
        <w:rPr>
          <w:rFonts w:ascii="MS Mincho" w:hAnsi="MS Mincho" w:cs="MS Mincho"/>
          <w:color w:val="000000"/>
          <w:spacing w:val="-4"/>
          <w:sz w:val="28"/>
          <w:szCs w:val="28"/>
        </w:rPr>
      </w:pPr>
      <w:r>
        <w:rPr>
          <w:rFonts w:hint="eastAsia" w:ascii="MS Mincho" w:hAnsi="MS Mincho" w:cs="MS Mincho"/>
          <w:color w:val="000000"/>
          <w:spacing w:val="-4"/>
          <w:sz w:val="28"/>
          <w:szCs w:val="28"/>
        </w:rPr>
        <w:t>3.公共服务水平提高程度；</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2.可持续影响</w:t>
      </w:r>
    </w:p>
    <w:p>
      <w:pPr>
        <w:spacing w:line="360" w:lineRule="auto"/>
        <w:ind w:firstLine="272" w:firstLineChars="100"/>
        <w:rPr>
          <w:rFonts w:ascii="MS Mincho" w:hAnsi="MS Mincho" w:cs="MS Mincho"/>
          <w:color w:val="000000"/>
          <w:spacing w:val="-4"/>
          <w:sz w:val="28"/>
          <w:szCs w:val="28"/>
        </w:rPr>
      </w:pPr>
      <w:r>
        <w:rPr>
          <w:rFonts w:hint="eastAsia" w:ascii="MS Mincho" w:hAnsi="MS Mincho" w:cs="MS Mincho"/>
          <w:color w:val="000000"/>
          <w:spacing w:val="-4"/>
          <w:sz w:val="28"/>
          <w:szCs w:val="28"/>
        </w:rPr>
        <w:t>通过综合分析项目近三年的资金情况和绩效情况，项目在财政资金支持下，可持续发展。</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3.服务对象满意度</w:t>
      </w:r>
    </w:p>
    <w:p>
      <w:pPr>
        <w:spacing w:line="360" w:lineRule="auto"/>
        <w:rPr>
          <w:rFonts w:hint="eastAsia" w:ascii="MS Mincho" w:hAnsi="MS Mincho" w:cs="MS Mincho"/>
          <w:color w:val="000000"/>
          <w:spacing w:val="-4"/>
          <w:sz w:val="28"/>
          <w:szCs w:val="28"/>
        </w:rPr>
      </w:pPr>
      <w:r>
        <w:rPr>
          <w:rFonts w:hint="eastAsia" w:ascii="MS Mincho" w:hAnsi="MS Mincho" w:cs="MS Mincho"/>
          <w:color w:val="000000"/>
          <w:spacing w:val="-4"/>
          <w:sz w:val="28"/>
          <w:szCs w:val="28"/>
        </w:rPr>
        <w:t>服务对象综合满意度达到≥95%。</w:t>
      </w:r>
    </w:p>
    <w:p>
      <w:pPr>
        <w:snapToGrid w:val="0"/>
        <w:spacing w:line="360" w:lineRule="auto"/>
        <w:rPr>
          <w:rFonts w:hint="eastAsia" w:ascii="宋体"/>
          <w:b/>
          <w:color w:val="000000"/>
          <w:spacing w:val="-4"/>
          <w:sz w:val="30"/>
          <w:szCs w:val="30"/>
        </w:rPr>
      </w:pPr>
      <w:r>
        <w:rPr>
          <w:rFonts w:hint="eastAsia" w:ascii="宋体"/>
          <w:b/>
          <w:color w:val="000000"/>
          <w:spacing w:val="-4"/>
          <w:sz w:val="30"/>
          <w:szCs w:val="30"/>
        </w:rPr>
        <w:t>五、主要经验及做法、存在的问题及原因分析</w:t>
      </w:r>
    </w:p>
    <w:p>
      <w:pPr>
        <w:spacing w:line="360" w:lineRule="auto"/>
        <w:ind w:firstLine="544" w:firstLineChars="200"/>
        <w:rPr>
          <w:rFonts w:hint="eastAsia" w:ascii="MS Mincho" w:hAnsi="MS Mincho" w:cs="MS Mincho"/>
          <w:color w:val="000000"/>
          <w:spacing w:val="-4"/>
          <w:sz w:val="28"/>
          <w:szCs w:val="28"/>
        </w:rPr>
      </w:pPr>
      <w:r>
        <w:rPr>
          <w:rFonts w:hint="eastAsia" w:ascii="MS Mincho" w:hAnsi="MS Mincho" w:cs="MS Mincho"/>
          <w:color w:val="000000"/>
          <w:spacing w:val="-4"/>
          <w:sz w:val="28"/>
          <w:szCs w:val="28"/>
        </w:rPr>
        <w:t>该单位成立主要领导人为负责人项目小组，</w:t>
      </w:r>
      <w:r>
        <w:rPr>
          <w:rFonts w:hint="eastAsia" w:ascii="宋体"/>
          <w:color w:val="000000"/>
          <w:sz w:val="28"/>
          <w:szCs w:val="28"/>
        </w:rPr>
        <w:t>项目资金的使用都严格按照财《西湖区卫健委专项资金管理办法》开支，做好账务设置和账务管理。在资金使用过程中，严把监督审核关，</w:t>
      </w:r>
      <w:r>
        <w:rPr>
          <w:rFonts w:hint="eastAsia" w:ascii="宋体"/>
          <w:color w:val="000000"/>
          <w:sz w:val="28"/>
          <w:szCs w:val="28"/>
          <w:lang w:eastAsia="zh-CN"/>
        </w:rPr>
        <w:t>建</w:t>
      </w:r>
      <w:r>
        <w:rPr>
          <w:rFonts w:hint="eastAsia" w:ascii="宋体"/>
          <w:color w:val="000000"/>
          <w:sz w:val="28"/>
          <w:szCs w:val="28"/>
        </w:rPr>
        <w:t>立健全内部审批，</w:t>
      </w:r>
      <w:r>
        <w:rPr>
          <w:rFonts w:hint="eastAsia" w:ascii="MS Mincho" w:hAnsi="MS Mincho" w:cs="MS Mincho"/>
          <w:color w:val="000000"/>
          <w:spacing w:val="-4"/>
          <w:sz w:val="28"/>
          <w:szCs w:val="28"/>
        </w:rPr>
        <w:t>这样保证项目的持续发展和健康运行。</w:t>
      </w:r>
    </w:p>
    <w:p>
      <w:pPr>
        <w:adjustRightInd w:val="0"/>
        <w:snapToGrid w:val="0"/>
        <w:spacing w:line="560" w:lineRule="atLeast"/>
        <w:ind w:left="92" w:leftChars="44" w:firstLine="420" w:firstLineChars="150"/>
        <w:rPr>
          <w:rFonts w:ascii="宋体" w:hAnsi="宋体"/>
          <w:sz w:val="28"/>
          <w:szCs w:val="28"/>
        </w:rPr>
      </w:pPr>
      <w:r>
        <w:rPr>
          <w:rFonts w:hint="eastAsia"/>
          <w:color w:val="000000"/>
          <w:sz w:val="28"/>
          <w:szCs w:val="28"/>
        </w:rPr>
        <w:t>从单位整体来看，绩效管理知识缺乏，或缺少相应的绩效管理经验，没有专职绩效管理人员，不能有效的实现绩效管理所预测的效果，导致绩效管理执行时缺乏必要的力度。</w:t>
      </w:r>
      <w:r>
        <w:rPr>
          <w:rFonts w:hint="eastAsia" w:ascii="宋体"/>
          <w:color w:val="000000"/>
          <w:sz w:val="28"/>
          <w:szCs w:val="28"/>
        </w:rPr>
        <w:t>在业务上要</w:t>
      </w:r>
      <w:r>
        <w:rPr>
          <w:rFonts w:hint="eastAsia" w:ascii="宋体" w:hAnsi="宋体"/>
          <w:sz w:val="28"/>
          <w:szCs w:val="28"/>
        </w:rPr>
        <w:t>进一步完善我区</w:t>
      </w:r>
      <w:r>
        <w:rPr>
          <w:rFonts w:hint="eastAsia" w:ascii="宋体" w:hAnsi="宋体"/>
          <w:sz w:val="28"/>
          <w:szCs w:val="28"/>
        </w:rPr>
        <w:fldChar w:fldCharType="begin"/>
      </w:r>
      <w:r>
        <w:rPr>
          <w:rFonts w:hint="eastAsia" w:ascii="宋体" w:hAnsi="宋体"/>
          <w:sz w:val="28"/>
          <w:szCs w:val="28"/>
        </w:rPr>
        <w:instrText xml:space="preserve"> HYPERLINK "http://gongwen.1kejian.com/list-14-1.html" \t "_blank" </w:instrText>
      </w:r>
      <w:r>
        <w:rPr>
          <w:rFonts w:hint="eastAsia" w:ascii="宋体" w:hAnsi="宋体"/>
          <w:sz w:val="28"/>
          <w:szCs w:val="28"/>
        </w:rPr>
        <w:fldChar w:fldCharType="separate"/>
      </w:r>
      <w:r>
        <w:rPr>
          <w:rFonts w:hint="eastAsia" w:ascii="宋体" w:hAnsi="宋体"/>
          <w:sz w:val="28"/>
          <w:szCs w:val="28"/>
        </w:rPr>
        <w:t>政府</w:t>
      </w:r>
      <w:r>
        <w:rPr>
          <w:rFonts w:hint="eastAsia" w:ascii="宋体" w:hAnsi="宋体"/>
          <w:sz w:val="28"/>
          <w:szCs w:val="28"/>
        </w:rPr>
        <w:fldChar w:fldCharType="end"/>
      </w:r>
      <w:r>
        <w:rPr>
          <w:rFonts w:hint="eastAsia" w:ascii="宋体" w:hAnsi="宋体"/>
          <w:sz w:val="28"/>
          <w:szCs w:val="28"/>
        </w:rPr>
        <w:t>领导、多部门合作，全社会共同参与的长效机制，充分发挥多部门艾滋病防治工作职能。</w:t>
      </w:r>
      <w:r>
        <w:rPr>
          <w:rFonts w:ascii="宋体" w:hAnsi="宋体"/>
          <w:sz w:val="28"/>
          <w:szCs w:val="28"/>
        </w:rPr>
        <w:t>向党委政府（部门）领导汇报性病艾滋病防治工作形势、任务、存在的问题和下一步工作重点，强化政府主体责任，明确部门职责，调动全社会力量，扎实推进性病艾滋病防治工作。下发任务的同时就同步按时下拨艾滋病防治工作项目经费，保障我区艾防工作能够顺利进行。</w:t>
      </w:r>
    </w:p>
    <w:p>
      <w:pPr>
        <w:snapToGrid w:val="0"/>
        <w:spacing w:line="360" w:lineRule="auto"/>
        <w:rPr>
          <w:rFonts w:hint="eastAsia" w:ascii="宋体"/>
          <w:b/>
          <w:color w:val="000000"/>
          <w:spacing w:val="-4"/>
          <w:sz w:val="30"/>
          <w:szCs w:val="30"/>
        </w:rPr>
      </w:pPr>
      <w:r>
        <w:rPr>
          <w:rFonts w:hint="eastAsia" w:ascii="宋体"/>
          <w:b/>
          <w:color w:val="000000"/>
          <w:spacing w:val="-4"/>
          <w:sz w:val="30"/>
          <w:szCs w:val="30"/>
        </w:rPr>
        <w:t>六、有关建议</w:t>
      </w:r>
    </w:p>
    <w:p>
      <w:pPr>
        <w:snapToGrid w:val="0"/>
        <w:spacing w:line="360" w:lineRule="auto"/>
        <w:rPr>
          <w:rFonts w:hint="eastAsia" w:ascii="宋体"/>
          <w:b/>
          <w:color w:val="000000"/>
          <w:spacing w:val="-4"/>
          <w:sz w:val="30"/>
          <w:szCs w:val="30"/>
        </w:rPr>
      </w:pPr>
      <w:r>
        <w:rPr>
          <w:rFonts w:hint="eastAsia" w:ascii="宋体"/>
          <w:b/>
          <w:color w:val="000000"/>
          <w:spacing w:val="-4"/>
          <w:sz w:val="30"/>
          <w:szCs w:val="30"/>
        </w:rPr>
        <w:t>无</w:t>
      </w:r>
    </w:p>
    <w:p>
      <w:pPr>
        <w:snapToGrid w:val="0"/>
        <w:spacing w:line="360" w:lineRule="auto"/>
        <w:rPr>
          <w:rFonts w:hint="eastAsia" w:ascii="宋体"/>
          <w:b/>
          <w:color w:val="000000"/>
          <w:spacing w:val="-4"/>
          <w:sz w:val="30"/>
          <w:szCs w:val="30"/>
        </w:rPr>
      </w:pPr>
      <w:r>
        <w:rPr>
          <w:rFonts w:hint="eastAsia" w:ascii="宋体"/>
          <w:b/>
          <w:color w:val="000000"/>
          <w:spacing w:val="-4"/>
          <w:sz w:val="30"/>
          <w:szCs w:val="30"/>
        </w:rPr>
        <w:t>七、其他需要说明的问题</w:t>
      </w:r>
    </w:p>
    <w:p>
      <w:pPr>
        <w:snapToGrid w:val="0"/>
        <w:spacing w:line="360" w:lineRule="auto"/>
        <w:rPr>
          <w:rFonts w:hint="eastAsia" w:ascii="宋体"/>
          <w:b/>
          <w:color w:val="000000"/>
          <w:spacing w:val="-4"/>
          <w:sz w:val="30"/>
          <w:szCs w:val="30"/>
        </w:rPr>
      </w:pPr>
      <w:r>
        <w:rPr>
          <w:rFonts w:hint="eastAsia" w:ascii="宋体"/>
          <w:b/>
          <w:color w:val="000000"/>
          <w:spacing w:val="-4"/>
          <w:sz w:val="30"/>
          <w:szCs w:val="30"/>
        </w:rPr>
        <w:t>无</w:t>
      </w:r>
    </w:p>
    <w:p>
      <w:pPr>
        <w:rPr>
          <w:rFonts w:hint="eastAsia" w:ascii="黑体" w:hAnsi="宋体" w:eastAsia="黑体" w:cs="Arial"/>
          <w:bCs/>
          <w:color w:val="000000"/>
          <w:sz w:val="32"/>
          <w:szCs w:val="32"/>
        </w:rPr>
      </w:pPr>
      <w:r>
        <w:rPr>
          <w:rFonts w:hint="eastAsia" w:ascii="黑体" w:hAnsi="宋体" w:eastAsia="黑体" w:cs="Arial"/>
          <w:bCs/>
          <w:color w:val="000000"/>
          <w:sz w:val="32"/>
          <w:szCs w:val="32"/>
        </w:rPr>
        <w:t>附件：</w:t>
      </w:r>
    </w:p>
    <w:p>
      <w:pPr>
        <w:jc w:val="center"/>
        <w:rPr>
          <w:rFonts w:hint="eastAsia" w:ascii="方正小标宋简体" w:hAnsi="宋体" w:eastAsia="方正小标宋简体" w:cs="Arial"/>
          <w:bCs/>
          <w:color w:val="000000"/>
          <w:sz w:val="44"/>
          <w:szCs w:val="44"/>
        </w:rPr>
      </w:pPr>
      <w:r>
        <w:rPr>
          <w:rFonts w:hint="eastAsia" w:ascii="方正小标宋简体" w:hAnsi="宋体" w:eastAsia="方正小标宋简体" w:cs="Arial"/>
          <w:bCs/>
          <w:color w:val="000000"/>
          <w:spacing w:val="40"/>
          <w:sz w:val="44"/>
          <w:szCs w:val="44"/>
        </w:rPr>
        <w:t>项目支出绩效评分</w:t>
      </w:r>
      <w:r>
        <w:rPr>
          <w:rFonts w:hint="eastAsia" w:ascii="方正小标宋简体" w:hAnsi="宋体" w:eastAsia="方正小标宋简体" w:cs="Arial"/>
          <w:bCs/>
          <w:color w:val="000000"/>
          <w:sz w:val="44"/>
          <w:szCs w:val="44"/>
        </w:rPr>
        <w:t>表</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534"/>
        <w:gridCol w:w="902"/>
        <w:gridCol w:w="1391"/>
        <w:gridCol w:w="704"/>
        <w:gridCol w:w="2455"/>
        <w:gridCol w:w="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blHeader/>
          <w:jc w:val="center"/>
        </w:trPr>
        <w:tc>
          <w:tcPr>
            <w:tcW w:w="528"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一级</w:t>
            </w:r>
          </w:p>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指标</w:t>
            </w:r>
          </w:p>
        </w:tc>
        <w:tc>
          <w:tcPr>
            <w:tcW w:w="900"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二级指标</w:t>
            </w:r>
          </w:p>
        </w:tc>
        <w:tc>
          <w:tcPr>
            <w:tcW w:w="529" w:type="pct"/>
            <w:shd w:val="clear" w:color="auto" w:fill="FFFFFF"/>
            <w:noWrap w:val="0"/>
            <w:vAlign w:val="center"/>
          </w:tcPr>
          <w:p>
            <w:pPr>
              <w:widowControl/>
              <w:ind w:firstLine="210" w:firstLineChars="100"/>
              <w:jc w:val="center"/>
              <w:rPr>
                <w:rFonts w:hint="eastAsia" w:ascii="黑体" w:hAnsi="黑体" w:eastAsia="黑体" w:cs="黑体"/>
                <w:bCs/>
                <w:color w:val="000000"/>
                <w:kern w:val="0"/>
                <w:szCs w:val="21"/>
              </w:rPr>
            </w:pPr>
          </w:p>
          <w:p>
            <w:pPr>
              <w:widowControl/>
              <w:ind w:firstLine="210" w:firstLineChars="100"/>
              <w:jc w:val="center"/>
              <w:rPr>
                <w:rFonts w:hint="eastAsia" w:ascii="黑体" w:hAnsi="黑体" w:eastAsia="黑体" w:cs="黑体"/>
                <w:bCs/>
                <w:color w:val="000000"/>
                <w:kern w:val="0"/>
                <w:szCs w:val="21"/>
              </w:rPr>
            </w:pPr>
            <w:r>
              <w:rPr>
                <w:rFonts w:hint="eastAsia" w:ascii="黑体" w:hAnsi="黑体" w:eastAsia="黑体" w:cs="黑体"/>
                <w:bCs/>
                <w:color w:val="000000"/>
                <w:kern w:val="0"/>
                <w:szCs w:val="21"/>
              </w:rPr>
              <w:t>分值</w:t>
            </w:r>
          </w:p>
          <w:p>
            <w:pPr>
              <w:widowControl/>
              <w:tabs>
                <w:tab w:val="left" w:pos="386"/>
              </w:tabs>
              <w:jc w:val="center"/>
              <w:rPr>
                <w:rFonts w:hint="eastAsia" w:ascii="黑体" w:hAnsi="黑体" w:eastAsia="黑体" w:cs="宋体"/>
                <w:bCs/>
                <w:color w:val="000000"/>
                <w:kern w:val="0"/>
                <w:szCs w:val="21"/>
              </w:rPr>
            </w:pPr>
          </w:p>
        </w:tc>
        <w:tc>
          <w:tcPr>
            <w:tcW w:w="816" w:type="pct"/>
            <w:shd w:val="clear" w:color="auto" w:fill="FFFFFF"/>
            <w:noWrap w:val="0"/>
            <w:vAlign w:val="center"/>
          </w:tcPr>
          <w:p>
            <w:pPr>
              <w:widowControl/>
              <w:jc w:val="center"/>
              <w:rPr>
                <w:rFonts w:ascii="黑体" w:hAnsi="黑体" w:eastAsia="黑体" w:cs="宋体"/>
                <w:bCs/>
                <w:color w:val="000000"/>
                <w:kern w:val="0"/>
                <w:szCs w:val="21"/>
              </w:rPr>
            </w:pPr>
            <w:r>
              <w:rPr>
                <w:rFonts w:hint="eastAsia" w:ascii="黑体" w:hAnsi="黑体" w:eastAsia="黑体" w:cs="宋体"/>
                <w:bCs/>
                <w:color w:val="000000"/>
                <w:kern w:val="0"/>
                <w:szCs w:val="21"/>
              </w:rPr>
              <w:t>三级指标</w:t>
            </w:r>
          </w:p>
        </w:tc>
        <w:tc>
          <w:tcPr>
            <w:tcW w:w="413"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分值</w:t>
            </w:r>
          </w:p>
        </w:tc>
        <w:tc>
          <w:tcPr>
            <w:tcW w:w="1439"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评分标准</w:t>
            </w:r>
          </w:p>
        </w:tc>
        <w:tc>
          <w:tcPr>
            <w:tcW w:w="373" w:type="pct"/>
            <w:shd w:val="clear" w:color="auto" w:fill="FFFFFF"/>
            <w:noWrap w:val="0"/>
            <w:vAlign w:val="center"/>
          </w:tcPr>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评价</w:t>
            </w:r>
          </w:p>
          <w:p>
            <w:pPr>
              <w:widowControl/>
              <w:jc w:val="center"/>
              <w:rPr>
                <w:rFonts w:hint="eastAsia" w:ascii="黑体" w:hAnsi="黑体" w:eastAsia="黑体" w:cs="宋体"/>
                <w:bCs/>
                <w:color w:val="000000"/>
                <w:kern w:val="0"/>
                <w:szCs w:val="21"/>
              </w:rPr>
            </w:pPr>
            <w:r>
              <w:rPr>
                <w:rFonts w:hint="eastAsia" w:ascii="黑体" w:hAnsi="黑体" w:eastAsia="黑体" w:cs="宋体"/>
                <w:bCs/>
                <w:color w:val="000000"/>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决策</w:t>
            </w:r>
          </w:p>
          <w:p>
            <w:pPr>
              <w:widowControl/>
              <w:spacing w:line="240" w:lineRule="exact"/>
              <w:jc w:val="center"/>
              <w:rPr>
                <w:rFonts w:hint="eastAsia" w:ascii="方正书宋简体" w:hAnsi="黑体" w:eastAsia="方正书宋简体" w:cs="宋体"/>
                <w:color w:val="000000"/>
                <w:kern w:val="0"/>
                <w:szCs w:val="21"/>
              </w:rPr>
            </w:pPr>
            <w:r>
              <w:rPr>
                <w:rFonts w:hint="eastAsia" w:ascii="黑体" w:hAnsi="黑体" w:eastAsia="黑体" w:cs="黑体"/>
                <w:color w:val="000000"/>
                <w:kern w:val="0"/>
                <w:szCs w:val="21"/>
              </w:rPr>
              <w:t>（15分）</w:t>
            </w:r>
            <w:r>
              <w:rPr>
                <w:rFonts w:hint="eastAsia" w:ascii="方正书宋简体" w:hAnsi="黑体" w:eastAsia="方正书宋简体" w:cs="宋体"/>
                <w:color w:val="000000"/>
                <w:kern w:val="0"/>
                <w:szCs w:val="21"/>
              </w:rPr>
              <w:t>　</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900"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项目立项　</w:t>
            </w:r>
          </w:p>
        </w:tc>
        <w:tc>
          <w:tcPr>
            <w:tcW w:w="52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立项依据</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充分性</w:t>
            </w:r>
          </w:p>
        </w:tc>
        <w:tc>
          <w:tcPr>
            <w:tcW w:w="41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c>
          <w:tcPr>
            <w:tcW w:w="1439" w:type="pct"/>
            <w:shd w:val="clear" w:color="auto" w:fill="FFFFFF"/>
            <w:noWrap w:val="0"/>
            <w:vAlign w:val="center"/>
          </w:tcPr>
          <w:p>
            <w:pPr>
              <w:widowControl/>
              <w:spacing w:line="240" w:lineRule="exact"/>
              <w:jc w:val="left"/>
              <w:rPr>
                <w:rFonts w:hint="eastAsia" w:ascii="方正书宋简体" w:hAnsi="黑体" w:cs="宋体"/>
                <w:color w:val="000000"/>
                <w:kern w:val="0"/>
                <w:szCs w:val="21"/>
              </w:rPr>
            </w:pPr>
            <w:r>
              <w:rPr>
                <w:rFonts w:hint="eastAsia" w:ascii="宋体" w:hAnsi="宋体" w:cs="宋体"/>
                <w:color w:val="000000"/>
                <w:kern w:val="0"/>
                <w:sz w:val="18"/>
                <w:szCs w:val="18"/>
              </w:rPr>
              <w:t>项目立项充分得2份，否则不得分</w:t>
            </w:r>
          </w:p>
        </w:tc>
        <w:tc>
          <w:tcPr>
            <w:tcW w:w="373" w:type="pct"/>
            <w:shd w:val="clear" w:color="auto" w:fill="FFFFFF"/>
            <w:noWrap w:val="0"/>
            <w:vAlign w:val="center"/>
          </w:tcPr>
          <w:p>
            <w:pPr>
              <w:widowControl/>
              <w:spacing w:line="240" w:lineRule="exact"/>
              <w:jc w:val="lef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立项程序</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规范性</w:t>
            </w:r>
          </w:p>
        </w:tc>
        <w:tc>
          <w:tcPr>
            <w:tcW w:w="41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c>
          <w:tcPr>
            <w:tcW w:w="1439"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项目申请、设立过程是否符合相关要求得2份，否则不得分</w:t>
            </w:r>
          </w:p>
        </w:tc>
        <w:tc>
          <w:tcPr>
            <w:tcW w:w="373" w:type="pct"/>
            <w:shd w:val="clear" w:color="auto" w:fill="FFFFFF"/>
            <w:noWrap w:val="0"/>
            <w:vAlign w:val="center"/>
          </w:tcPr>
          <w:p>
            <w:pPr>
              <w:widowControl/>
              <w:spacing w:line="240" w:lineRule="exact"/>
              <w:jc w:val="lef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900"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　</w:t>
            </w:r>
          </w:p>
        </w:tc>
        <w:tc>
          <w:tcPr>
            <w:tcW w:w="529" w:type="pct"/>
            <w:vMerge w:val="restart"/>
            <w:shd w:val="clear" w:color="auto" w:fill="FFFFFF"/>
            <w:noWrap w:val="0"/>
            <w:vAlign w:val="center"/>
          </w:tcPr>
          <w:p>
            <w:pPr>
              <w:widowControl/>
              <w:tabs>
                <w:tab w:val="left" w:pos="416"/>
              </w:tabs>
              <w:spacing w:line="240" w:lineRule="exact"/>
              <w:jc w:val="lef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ab/>
            </w:r>
            <w:r>
              <w:rPr>
                <w:rFonts w:hint="eastAsia" w:ascii="方正书宋简体" w:hAnsi="黑体" w:eastAsia="方正书宋简体" w:cs="宋体"/>
                <w:color w:val="000000"/>
                <w:kern w:val="0"/>
                <w:szCs w:val="21"/>
              </w:rPr>
              <w:t>4</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合理性</w:t>
            </w:r>
          </w:p>
        </w:tc>
        <w:tc>
          <w:tcPr>
            <w:tcW w:w="41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c>
          <w:tcPr>
            <w:tcW w:w="1439" w:type="pct"/>
            <w:shd w:val="clear" w:color="000000" w:fill="FFFFFF"/>
            <w:noWrap w:val="0"/>
            <w:vAlign w:val="center"/>
          </w:tcPr>
          <w:p>
            <w:pPr>
              <w:widowControl/>
              <w:spacing w:line="240" w:lineRule="exact"/>
              <w:jc w:val="left"/>
              <w:rPr>
                <w:rFonts w:hint="eastAsia" w:ascii="方正书宋简体" w:hAnsi="黑体" w:cs="宋体"/>
                <w:color w:val="000000"/>
                <w:kern w:val="0"/>
                <w:szCs w:val="21"/>
              </w:rPr>
            </w:pPr>
            <w:r>
              <w:rPr>
                <w:rFonts w:hint="eastAsia" w:ascii="宋体" w:hAnsi="宋体" w:cs="宋体"/>
                <w:color w:val="000000"/>
                <w:kern w:val="0"/>
                <w:sz w:val="18"/>
                <w:szCs w:val="18"/>
              </w:rPr>
              <w:t>项目所设定的绩效目标是否依据充分，是否符合客观实际得2份，否则一个不明确扣除0.5分。</w:t>
            </w:r>
          </w:p>
        </w:tc>
        <w:tc>
          <w:tcPr>
            <w:tcW w:w="373" w:type="pct"/>
            <w:shd w:val="clear" w:color="000000" w:fill="FFFFFF"/>
            <w:noWrap w:val="0"/>
            <w:vAlign w:val="center"/>
          </w:tcPr>
          <w:p>
            <w:pPr>
              <w:widowControl/>
              <w:spacing w:line="240" w:lineRule="exact"/>
              <w:jc w:val="lef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6"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绩效目标</w:t>
            </w: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绩效指标</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明确性</w:t>
            </w:r>
          </w:p>
        </w:tc>
        <w:tc>
          <w:tcPr>
            <w:tcW w:w="41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br w:type="textWrapping"/>
            </w:r>
            <w:r>
              <w:rPr>
                <w:rFonts w:hint="eastAsia" w:ascii="方正书宋简体" w:hAnsi="黑体" w:eastAsia="方正书宋简体" w:cs="宋体"/>
                <w:color w:val="000000"/>
                <w:kern w:val="0"/>
                <w:szCs w:val="21"/>
              </w:rPr>
              <w:t>2</w:t>
            </w:r>
          </w:p>
        </w:tc>
        <w:tc>
          <w:tcPr>
            <w:tcW w:w="1439" w:type="pct"/>
            <w:shd w:val="clear" w:color="000000"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依据绩效目标设定的绩效指标是否清晰、细化、可衡得2份，否则一个不明确扣除0.5分。</w:t>
            </w:r>
          </w:p>
        </w:tc>
        <w:tc>
          <w:tcPr>
            <w:tcW w:w="373" w:type="pct"/>
            <w:shd w:val="clear" w:color="000000"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900"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资金投入</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29" w:type="pct"/>
            <w:vMerge w:val="restart"/>
            <w:shd w:val="clear" w:color="auto" w:fill="FFFFFF"/>
            <w:noWrap w:val="0"/>
            <w:vAlign w:val="center"/>
          </w:tcPr>
          <w:p>
            <w:pPr>
              <w:widowControl/>
              <w:tabs>
                <w:tab w:val="left" w:pos="353"/>
              </w:tabs>
              <w:spacing w:line="240" w:lineRule="exact"/>
              <w:jc w:val="lef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ab/>
            </w:r>
            <w:r>
              <w:rPr>
                <w:rFonts w:hint="eastAsia" w:ascii="方正书宋简体" w:hAnsi="黑体" w:eastAsia="方正书宋简体" w:cs="宋体"/>
                <w:color w:val="000000"/>
                <w:kern w:val="0"/>
                <w:szCs w:val="21"/>
              </w:rPr>
              <w:t>7</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预算编制</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科学性</w:t>
            </w:r>
          </w:p>
        </w:tc>
        <w:tc>
          <w:tcPr>
            <w:tcW w:w="41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c>
          <w:tcPr>
            <w:tcW w:w="1439"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项目预算编制是否经过科学论证、有明确标准，资金额度与年度目标是否相适应得4份，否则不得分</w:t>
            </w:r>
          </w:p>
        </w:tc>
        <w:tc>
          <w:tcPr>
            <w:tcW w:w="373" w:type="pc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kern w:val="0"/>
                <w:szCs w:val="21"/>
              </w:rPr>
            </w:pPr>
            <w:r>
              <w:rPr>
                <w:rFonts w:hint="eastAsia" w:ascii="方正书宋简体" w:hAnsi="黑体" w:eastAsia="方正书宋简体" w:cs="宋体"/>
                <w:kern w:val="0"/>
                <w:szCs w:val="21"/>
              </w:rPr>
              <w:t>资金分配</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kern w:val="0"/>
                <w:szCs w:val="21"/>
              </w:rPr>
              <w:t>合理性</w:t>
            </w:r>
          </w:p>
        </w:tc>
        <w:tc>
          <w:tcPr>
            <w:tcW w:w="41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项目预算资金分配是否有测算依据得3份，否则一个不明确扣除0.5分。</w:t>
            </w:r>
          </w:p>
        </w:tc>
        <w:tc>
          <w:tcPr>
            <w:tcW w:w="373" w:type="pct"/>
            <w:shd w:val="clear" w:color="auto"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restar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过程</w:t>
            </w:r>
          </w:p>
          <w:p>
            <w:pPr>
              <w:spacing w:line="240" w:lineRule="exact"/>
              <w:jc w:val="center"/>
              <w:rPr>
                <w:rFonts w:hint="eastAsia" w:ascii="方正书宋简体" w:hAnsi="黑体" w:eastAsia="方正书宋简体" w:cs="宋体"/>
                <w:color w:val="000000"/>
                <w:kern w:val="0"/>
                <w:szCs w:val="21"/>
              </w:rPr>
            </w:pPr>
          </w:p>
          <w:p>
            <w:pPr>
              <w:spacing w:line="240" w:lineRule="exact"/>
              <w:jc w:val="center"/>
              <w:rPr>
                <w:rFonts w:hint="eastAsia" w:ascii="黑体" w:hAnsi="黑体" w:eastAsia="黑体" w:cs="黑体"/>
                <w:color w:val="000000"/>
                <w:kern w:val="0"/>
                <w:szCs w:val="21"/>
              </w:rPr>
            </w:pPr>
            <w:r>
              <w:rPr>
                <w:rFonts w:hint="eastAsia" w:ascii="黑体" w:hAnsi="黑体" w:eastAsia="黑体" w:cs="黑体"/>
                <w:color w:val="000000"/>
                <w:kern w:val="0"/>
                <w:szCs w:val="21"/>
              </w:rPr>
              <w:t>（15分）</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900"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tc>
        <w:tc>
          <w:tcPr>
            <w:tcW w:w="529" w:type="pct"/>
            <w:vMerge w:val="restart"/>
            <w:shd w:val="clear" w:color="auto" w:fill="FFFFFF"/>
            <w:noWrap w:val="0"/>
            <w:vAlign w:val="center"/>
          </w:tcPr>
          <w:p>
            <w:pPr>
              <w:widowControl/>
              <w:tabs>
                <w:tab w:val="left" w:pos="559"/>
              </w:tabs>
              <w:spacing w:line="240" w:lineRule="exact"/>
              <w:jc w:val="lef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ab/>
            </w:r>
            <w:r>
              <w:rPr>
                <w:rFonts w:hint="eastAsia" w:ascii="方正书宋简体" w:hAnsi="黑体" w:eastAsia="方正书宋简体" w:cs="宋体"/>
                <w:color w:val="000000"/>
                <w:kern w:val="0"/>
                <w:szCs w:val="21"/>
              </w:rPr>
              <w:t>9</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资金到位率</w:t>
            </w:r>
          </w:p>
        </w:tc>
        <w:tc>
          <w:tcPr>
            <w:tcW w:w="41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宋体" w:hAnsi="宋体" w:cs="宋体"/>
                <w:color w:val="000000"/>
                <w:kern w:val="0"/>
                <w:sz w:val="18"/>
                <w:szCs w:val="18"/>
              </w:rPr>
              <w:t>实际到位资金÷全年预算数×100%。</w:t>
            </w:r>
            <w:r>
              <w:rPr>
                <w:rFonts w:hint="eastAsia" w:ascii="方正书宋简体" w:hAnsi="黑体" w:eastAsia="方正书宋简体" w:cs="宋体"/>
                <w:color w:val="000000"/>
                <w:kern w:val="0"/>
                <w:szCs w:val="21"/>
              </w:rPr>
              <w:t>≥90%得3分，介于80%-90%得2分，后每少10%扣0.5分，低于60%不得分</w:t>
            </w:r>
          </w:p>
        </w:tc>
        <w:tc>
          <w:tcPr>
            <w:tcW w:w="373" w:type="pct"/>
            <w:shd w:val="clear" w:color="000000"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预算执行率</w:t>
            </w:r>
          </w:p>
        </w:tc>
        <w:tc>
          <w:tcPr>
            <w:tcW w:w="413"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auto"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全年执行数÷全年预算数×100%。</w:t>
            </w:r>
            <w:r>
              <w:rPr>
                <w:rFonts w:hint="eastAsia" w:ascii="方正书宋简体" w:hAnsi="黑体" w:eastAsia="方正书宋简体" w:cs="宋体"/>
                <w:color w:val="000000"/>
                <w:kern w:val="0"/>
                <w:szCs w:val="21"/>
              </w:rPr>
              <w:t>≥90%得3分，介于80%-90%得2分，后每少10%扣0.5分，低于60%不得分</w:t>
            </w:r>
          </w:p>
        </w:tc>
        <w:tc>
          <w:tcPr>
            <w:tcW w:w="373" w:type="pct"/>
            <w:shd w:val="clear" w:color="auto"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900"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资金管理</w:t>
            </w: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资金使用</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合规性</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rPr>
                <w:rFonts w:hint="eastAsia" w:ascii="方正书宋简体" w:hAnsi="黑体" w:cs="宋体"/>
                <w:color w:val="000000"/>
                <w:kern w:val="0"/>
                <w:szCs w:val="21"/>
              </w:rPr>
            </w:pPr>
            <w:r>
              <w:rPr>
                <w:rFonts w:hint="eastAsia" w:ascii="宋体" w:hAnsi="宋体" w:cs="宋体"/>
                <w:color w:val="000000"/>
                <w:kern w:val="0"/>
                <w:sz w:val="18"/>
                <w:szCs w:val="18"/>
              </w:rPr>
              <w:t>资金使用符合相关的财务管理制度规定，专款专用得3分，否则一个不明确扣除0.5分。</w:t>
            </w:r>
          </w:p>
        </w:tc>
        <w:tc>
          <w:tcPr>
            <w:tcW w:w="373" w:type="pct"/>
            <w:shd w:val="clear" w:color="000000"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900"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组织实施</w:t>
            </w:r>
          </w:p>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　</w:t>
            </w:r>
          </w:p>
        </w:tc>
        <w:tc>
          <w:tcPr>
            <w:tcW w:w="52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6</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健全性</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管理制度</w:t>
            </w:r>
          </w:p>
          <w:p>
            <w:pPr>
              <w:widowControl/>
              <w:spacing w:line="240" w:lineRule="exact"/>
              <w:rPr>
                <w:rFonts w:hint="eastAsia" w:ascii="方正书宋简体" w:hAnsi="黑体" w:cs="宋体"/>
                <w:color w:val="000000"/>
                <w:kern w:val="0"/>
                <w:szCs w:val="21"/>
              </w:rPr>
            </w:pPr>
            <w:r>
              <w:rPr>
                <w:rFonts w:hint="eastAsia" w:ascii="方正书宋简体" w:hAnsi="黑体" w:eastAsia="方正书宋简体" w:cs="宋体"/>
                <w:color w:val="000000"/>
                <w:kern w:val="0"/>
                <w:szCs w:val="21"/>
              </w:rPr>
              <w:t>健全性</w:t>
            </w:r>
            <w:r>
              <w:rPr>
                <w:rFonts w:hint="eastAsia" w:ascii="宋体" w:hAnsi="宋体" w:cs="宋体"/>
                <w:color w:val="000000"/>
                <w:kern w:val="0"/>
                <w:sz w:val="18"/>
                <w:szCs w:val="18"/>
              </w:rPr>
              <w:t>得3分，否则一个不明确扣除0.5分。</w:t>
            </w:r>
          </w:p>
        </w:tc>
        <w:tc>
          <w:tcPr>
            <w:tcW w:w="373" w:type="pct"/>
            <w:shd w:val="clear" w:color="000000"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kern w:val="0"/>
                <w:szCs w:val="21"/>
              </w:rPr>
            </w:pPr>
            <w:r>
              <w:rPr>
                <w:rFonts w:hint="eastAsia" w:ascii="方正书宋简体" w:hAnsi="黑体" w:eastAsia="方正书宋简体" w:cs="宋体"/>
                <w:kern w:val="0"/>
                <w:szCs w:val="21"/>
              </w:rPr>
              <w:t>制度执行</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kern w:val="0"/>
                <w:szCs w:val="21"/>
              </w:rPr>
              <w:t>有效性</w:t>
            </w:r>
          </w:p>
        </w:tc>
        <w:tc>
          <w:tcPr>
            <w:tcW w:w="413" w:type="pct"/>
            <w:shd w:val="clear" w:color="000000" w:fill="FFFFFF"/>
            <w:noWrap w:val="0"/>
            <w:vAlign w:val="center"/>
          </w:tcPr>
          <w:p>
            <w:pPr>
              <w:widowControl/>
              <w:spacing w:line="240" w:lineRule="exact"/>
              <w:ind w:firstLine="420" w:firstLineChars="200"/>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rPr>
                <w:rFonts w:hint="eastAsia" w:ascii="方正书宋简体" w:hAnsi="黑体" w:cs="宋体"/>
                <w:color w:val="000000"/>
                <w:kern w:val="0"/>
                <w:szCs w:val="21"/>
              </w:rPr>
            </w:pPr>
            <w:r>
              <w:rPr>
                <w:rFonts w:hint="eastAsia" w:ascii="方正书宋简体" w:hAnsi="黑体" w:eastAsia="方正书宋简体" w:cs="宋体"/>
                <w:kern w:val="0"/>
                <w:szCs w:val="21"/>
              </w:rPr>
              <w:t>制度执行有效</w:t>
            </w:r>
            <w:r>
              <w:rPr>
                <w:rFonts w:hint="eastAsia" w:ascii="方正书宋简体" w:hAnsi="黑体" w:eastAsia="方正书宋简体" w:cs="宋体"/>
                <w:color w:val="000000"/>
                <w:kern w:val="0"/>
                <w:szCs w:val="21"/>
              </w:rPr>
              <w:t>≥90%得3分，</w:t>
            </w:r>
            <w:r>
              <w:rPr>
                <w:rFonts w:hint="eastAsia" w:ascii="宋体" w:hAnsi="宋体" w:cs="宋体"/>
                <w:color w:val="000000"/>
                <w:kern w:val="0"/>
                <w:sz w:val="18"/>
                <w:szCs w:val="18"/>
              </w:rPr>
              <w:t>否则一个不明确扣除1分。</w:t>
            </w:r>
          </w:p>
        </w:tc>
        <w:tc>
          <w:tcPr>
            <w:tcW w:w="373" w:type="pct"/>
            <w:shd w:val="clear" w:color="000000"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产出数量</w:t>
            </w:r>
          </w:p>
        </w:tc>
        <w:tc>
          <w:tcPr>
            <w:tcW w:w="529"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p>
            <w:pPr>
              <w:ind w:firstLine="318"/>
              <w:jc w:val="left"/>
            </w:pPr>
            <w:r>
              <w:rPr>
                <w:rFonts w:hint="eastAsia"/>
              </w:rPr>
              <w:t>6</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指标1：对辖区医疗机构培训次数</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对辖区医疗机构培训次数3次，得3分，</w:t>
            </w:r>
            <w:r>
              <w:rPr>
                <w:rFonts w:hint="eastAsia" w:ascii="宋体" w:hAnsi="宋体" w:cs="宋体"/>
                <w:color w:val="000000"/>
                <w:kern w:val="0"/>
                <w:sz w:val="18"/>
                <w:szCs w:val="18"/>
              </w:rPr>
              <w:t>否则少1次扣1分</w:t>
            </w:r>
          </w:p>
        </w:tc>
        <w:tc>
          <w:tcPr>
            <w:tcW w:w="37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w:t>
            </w:r>
          </w:p>
          <w:p>
            <w:pPr>
              <w:widowControl/>
              <w:spacing w:line="240" w:lineRule="exact"/>
              <w:jc w:val="center"/>
              <w:rPr>
                <w:rFonts w:hint="eastAsia" w:ascii="方正书宋简体" w:hAnsi="黑体" w:eastAsia="方正书宋简体" w:cs="宋体"/>
                <w:color w:val="000000"/>
                <w:kern w:val="0"/>
                <w:szCs w:val="21"/>
              </w:rPr>
            </w:pPr>
            <w:r>
              <w:rPr>
                <w:rFonts w:hint="eastAsia" w:ascii="黑体" w:hAnsi="黑体" w:eastAsia="黑体" w:cs="黑体"/>
                <w:color w:val="000000"/>
                <w:kern w:val="0"/>
                <w:szCs w:val="21"/>
              </w:rPr>
              <w:t>（35分）</w:t>
            </w: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指标2：对辖区医疗机构培训人数</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对辖区医疗机构培训人数28人得3分，</w:t>
            </w:r>
            <w:r>
              <w:rPr>
                <w:rFonts w:hint="eastAsia" w:ascii="宋体" w:hAnsi="宋体" w:cs="宋体"/>
                <w:color w:val="000000"/>
                <w:kern w:val="0"/>
                <w:sz w:val="18"/>
                <w:szCs w:val="18"/>
              </w:rPr>
              <w:t>否则少12人扣1分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产出质量</w:t>
            </w:r>
          </w:p>
        </w:tc>
        <w:tc>
          <w:tcPr>
            <w:tcW w:w="529" w:type="pct"/>
            <w:vMerge w:val="restart"/>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21</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指标1：全人群HIV抗体检测率</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黑体" w:cs="宋体"/>
                <w:color w:val="000000"/>
                <w:kern w:val="0"/>
                <w:szCs w:val="21"/>
              </w:rPr>
            </w:pPr>
            <w:r>
              <w:rPr>
                <w:rFonts w:hint="eastAsia" w:ascii="方正书宋简体" w:hAnsi="黑体" w:eastAsia="方正书宋简体" w:cs="宋体"/>
                <w:color w:val="000000"/>
                <w:kern w:val="0"/>
                <w:szCs w:val="21"/>
              </w:rPr>
              <w:t>全人群HIV抗体检测率</w:t>
            </w:r>
            <w:r>
              <w:rPr>
                <w:rFonts w:hint="eastAsia" w:ascii="黑体" w:hAnsi="黑体" w:eastAsia="黑体" w:cs="黑体"/>
                <w:sz w:val="18"/>
                <w:szCs w:val="18"/>
              </w:rPr>
              <w:t>≥20%，</w:t>
            </w:r>
            <w:r>
              <w:rPr>
                <w:rFonts w:hint="eastAsia" w:ascii="宋体" w:hAnsi="宋体" w:cs="宋体"/>
                <w:color w:val="000000"/>
                <w:kern w:val="0"/>
                <w:sz w:val="18"/>
                <w:szCs w:val="18"/>
              </w:rPr>
              <w:t>否则每少5%处扣1分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指标2：新发现及既往报告病例的配偶和固定性伴HIV抗体检测率</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新发现及既往报告病例的配偶和固定性伴HIV抗体检测率≥95%得3分，</w:t>
            </w:r>
            <w:r>
              <w:rPr>
                <w:rFonts w:hint="eastAsia" w:ascii="宋体" w:hAnsi="宋体" w:cs="宋体"/>
                <w:color w:val="000000"/>
                <w:kern w:val="0"/>
                <w:sz w:val="18"/>
                <w:szCs w:val="18"/>
              </w:rPr>
              <w:t>否则每少10%处扣1分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指标3：未治疗的艾滋病感染者/病人随访检测比例</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未治疗的艾滋病感染者/病人随访检测比例≥93%得3分，</w:t>
            </w:r>
            <w:r>
              <w:rPr>
                <w:rFonts w:hint="eastAsia" w:ascii="宋体" w:hAnsi="宋体" w:cs="宋体"/>
                <w:color w:val="000000"/>
                <w:kern w:val="0"/>
                <w:sz w:val="18"/>
                <w:szCs w:val="18"/>
              </w:rPr>
              <w:t>否则每少10%处扣1分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指标4：在治病人的CD4和病毒载量检测率</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在治病人的CD4和病毒载量检测率93%得3分，</w:t>
            </w:r>
            <w:r>
              <w:rPr>
                <w:rFonts w:hint="eastAsia" w:ascii="宋体" w:hAnsi="宋体" w:cs="宋体"/>
                <w:color w:val="000000"/>
                <w:kern w:val="0"/>
                <w:sz w:val="18"/>
                <w:szCs w:val="18"/>
              </w:rPr>
              <w:t>否则每少10%处扣1分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指标5：感染者、病人接受结核病检查比例</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感染者、病人接受结核病检查比例≥95%得3分，</w:t>
            </w:r>
            <w:r>
              <w:rPr>
                <w:rFonts w:hint="eastAsia" w:ascii="宋体" w:hAnsi="宋体" w:cs="宋体"/>
                <w:color w:val="000000"/>
                <w:kern w:val="0"/>
                <w:sz w:val="18"/>
                <w:szCs w:val="18"/>
              </w:rPr>
              <w:t>否则每少10%处扣1分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指标6：居民艾滋病防治知识知晓率</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居民艾滋病防治知识知晓率≥85%得3分，</w:t>
            </w:r>
            <w:r>
              <w:rPr>
                <w:rFonts w:hint="eastAsia" w:ascii="宋体" w:hAnsi="宋体" w:cs="宋体"/>
                <w:color w:val="000000"/>
                <w:kern w:val="0"/>
                <w:sz w:val="18"/>
                <w:szCs w:val="18"/>
              </w:rPr>
              <w:t>否则每少10%处扣1分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指标7：流动人口、青年学生、监管场所被监管人员等重点人群以及易感染艾滋病危险行为人群防治知识知晓率</w:t>
            </w:r>
          </w:p>
        </w:tc>
        <w:tc>
          <w:tcPr>
            <w:tcW w:w="413" w:type="pct"/>
            <w:shd w:val="clear" w:color="000000"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c>
          <w:tcPr>
            <w:tcW w:w="1439"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流动人口、青年学生、监管场所被监管人员等重点人群以及易感染艾滋病危险行为人群防治知识知晓率≥95%得3分，</w:t>
            </w:r>
            <w:r>
              <w:rPr>
                <w:rFonts w:hint="eastAsia" w:ascii="宋体" w:hAnsi="宋体" w:cs="宋体"/>
                <w:color w:val="000000"/>
                <w:kern w:val="0"/>
                <w:sz w:val="18"/>
                <w:szCs w:val="18"/>
              </w:rPr>
              <w:t>否则每少10%处扣1分</w:t>
            </w:r>
          </w:p>
        </w:tc>
        <w:tc>
          <w:tcPr>
            <w:tcW w:w="373" w:type="pct"/>
            <w:shd w:val="clear" w:color="000000"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p>
        </w:tc>
        <w:tc>
          <w:tcPr>
            <w:tcW w:w="900" w:type="pct"/>
            <w:shd w:val="clear" w:color="auto" w:fill="FFFFFF"/>
            <w:noWrap w:val="0"/>
            <w:vAlign w:val="center"/>
          </w:tcPr>
          <w:p>
            <w:pPr>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产出时效</w:t>
            </w:r>
          </w:p>
        </w:tc>
        <w:tc>
          <w:tcPr>
            <w:tcW w:w="529"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4</w:t>
            </w:r>
          </w:p>
        </w:tc>
        <w:tc>
          <w:tcPr>
            <w:tcW w:w="816"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艾滋病和性病防治及时性</w:t>
            </w:r>
          </w:p>
        </w:tc>
        <w:tc>
          <w:tcPr>
            <w:tcW w:w="413" w:type="pct"/>
            <w:shd w:val="clear" w:color="000000"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39" w:type="pct"/>
            <w:shd w:val="clear" w:color="000000"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艾滋病和性病防治及时性，</w:t>
            </w:r>
            <w:r>
              <w:rPr>
                <w:rFonts w:ascii="方正书宋简体" w:hAnsi="黑体" w:eastAsia="方正书宋简体" w:cs="宋体"/>
                <w:color w:val="000000"/>
                <w:kern w:val="0"/>
                <w:szCs w:val="21"/>
              </w:rPr>
              <w:t>及时性</w:t>
            </w:r>
            <w:r>
              <w:rPr>
                <w:rFonts w:hint="eastAsia" w:ascii="方正书宋简体" w:hAnsi="黑体" w:eastAsia="方正书宋简体" w:cs="宋体"/>
                <w:color w:val="000000"/>
                <w:kern w:val="0"/>
                <w:szCs w:val="21"/>
              </w:rPr>
              <w:t>得4分，</w:t>
            </w:r>
            <w:r>
              <w:rPr>
                <w:rFonts w:hint="eastAsia" w:ascii="宋体" w:hAnsi="宋体" w:cs="宋体"/>
                <w:color w:val="000000"/>
                <w:kern w:val="0"/>
                <w:sz w:val="18"/>
                <w:szCs w:val="18"/>
              </w:rPr>
              <w:t>否则不得分</w:t>
            </w:r>
          </w:p>
        </w:tc>
        <w:tc>
          <w:tcPr>
            <w:tcW w:w="373" w:type="pct"/>
            <w:shd w:val="clear" w:color="000000"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产出成本</w:t>
            </w:r>
          </w:p>
        </w:tc>
        <w:tc>
          <w:tcPr>
            <w:tcW w:w="529" w:type="pct"/>
            <w:shd w:val="clear" w:color="auto" w:fill="FFFFFF"/>
            <w:noWrap w:val="0"/>
            <w:vAlign w:val="center"/>
          </w:tcPr>
          <w:p>
            <w:pPr>
              <w:widowControl/>
              <w:spacing w:line="240" w:lineRule="exact"/>
              <w:jc w:val="center"/>
              <w:rPr>
                <w:rFonts w:hint="eastAsia" w:ascii="宋体" w:hAnsi="宋体" w:cs="宋体"/>
                <w:kern w:val="0"/>
                <w:sz w:val="18"/>
                <w:szCs w:val="18"/>
              </w:rPr>
            </w:pPr>
            <w:r>
              <w:rPr>
                <w:rFonts w:hint="eastAsia" w:ascii="宋体" w:hAnsi="宋体" w:cs="宋体"/>
                <w:kern w:val="0"/>
                <w:sz w:val="18"/>
                <w:szCs w:val="18"/>
              </w:rPr>
              <w:t>4</w:t>
            </w:r>
          </w:p>
        </w:tc>
        <w:tc>
          <w:tcPr>
            <w:tcW w:w="816"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kern w:val="0"/>
                <w:sz w:val="18"/>
                <w:szCs w:val="18"/>
              </w:rPr>
              <w:t>艾滋病和性病防治成本</w:t>
            </w:r>
          </w:p>
        </w:tc>
        <w:tc>
          <w:tcPr>
            <w:tcW w:w="413" w:type="pct"/>
            <w:shd w:val="clear" w:color="000000"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439" w:type="pct"/>
            <w:shd w:val="clear" w:color="000000"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年末成本不超过预算每超过10%扣0.5分，直到扣完。</w:t>
            </w:r>
          </w:p>
        </w:tc>
        <w:tc>
          <w:tcPr>
            <w:tcW w:w="373" w:type="pct"/>
            <w:shd w:val="clear" w:color="000000"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28"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社会效益</w:t>
            </w:r>
          </w:p>
        </w:tc>
        <w:tc>
          <w:tcPr>
            <w:tcW w:w="529" w:type="pct"/>
            <w:vMerge w:val="restart"/>
            <w:shd w:val="clear" w:color="auto"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25</w:t>
            </w:r>
          </w:p>
        </w:tc>
        <w:tc>
          <w:tcPr>
            <w:tcW w:w="816"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1：贫困艾滋病患者免费救治工作任务指标2：艾滋病的防控教育(%)3.公共服务水平提高</w:t>
            </w:r>
          </w:p>
        </w:tc>
        <w:tc>
          <w:tcPr>
            <w:tcW w:w="413" w:type="pct"/>
            <w:shd w:val="clear" w:color="auto"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1439"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eastAsia="方正书宋简体" w:cs="宋体"/>
                <w:color w:val="000000"/>
                <w:kern w:val="0"/>
                <w:sz w:val="18"/>
                <w:szCs w:val="18"/>
              </w:rPr>
              <w:t>逐年提高得满分，</w:t>
            </w:r>
            <w:r>
              <w:rPr>
                <w:rFonts w:hint="eastAsia" w:ascii="宋体" w:hAnsi="宋体" w:cs="宋体"/>
                <w:color w:val="000000"/>
                <w:kern w:val="0"/>
                <w:sz w:val="18"/>
                <w:szCs w:val="18"/>
              </w:rPr>
              <w:t>否则每少10%处扣1分。</w:t>
            </w:r>
          </w:p>
        </w:tc>
        <w:tc>
          <w:tcPr>
            <w:tcW w:w="373" w:type="pct"/>
            <w:shd w:val="clear" w:color="auto"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生态效益</w:t>
            </w:r>
          </w:p>
        </w:tc>
        <w:tc>
          <w:tcPr>
            <w:tcW w:w="529" w:type="pct"/>
            <w:vMerge w:val="continue"/>
            <w:shd w:val="clear" w:color="auto" w:fill="FFFFFF"/>
            <w:noWrap w:val="0"/>
            <w:vAlign w:val="center"/>
          </w:tcPr>
          <w:p>
            <w:pPr>
              <w:widowControl/>
              <w:spacing w:line="240" w:lineRule="exact"/>
              <w:jc w:val="center"/>
              <w:rPr>
                <w:rFonts w:hint="eastAsia" w:ascii="宋体" w:hAnsi="宋体" w:cs="宋体"/>
                <w:color w:val="000000"/>
                <w:kern w:val="0"/>
                <w:sz w:val="18"/>
                <w:szCs w:val="18"/>
              </w:rPr>
            </w:pPr>
          </w:p>
        </w:tc>
        <w:tc>
          <w:tcPr>
            <w:tcW w:w="816" w:type="pct"/>
            <w:vMerge w:val="restar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办公资源循环利用率(%)</w:t>
            </w:r>
          </w:p>
        </w:tc>
        <w:tc>
          <w:tcPr>
            <w:tcW w:w="413" w:type="pct"/>
            <w:vMerge w:val="restart"/>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5</w:t>
            </w:r>
          </w:p>
        </w:tc>
        <w:tc>
          <w:tcPr>
            <w:tcW w:w="1439" w:type="pct"/>
            <w:vMerge w:val="restar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≥90%得满分，80%-90%得3分，小于80%不得分</w:t>
            </w:r>
          </w:p>
        </w:tc>
        <w:tc>
          <w:tcPr>
            <w:tcW w:w="373" w:type="pct"/>
            <w:vMerge w:val="restart"/>
            <w:shd w:val="clear" w:color="auto"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528"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效益</w:t>
            </w:r>
          </w:p>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（25分）</w:t>
            </w:r>
          </w:p>
        </w:tc>
        <w:tc>
          <w:tcPr>
            <w:tcW w:w="900"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529" w:type="pct"/>
            <w:vMerge w:val="continue"/>
            <w:shd w:val="clear" w:color="auto" w:fill="FFFFFF"/>
            <w:noWrap w:val="0"/>
            <w:vAlign w:val="center"/>
          </w:tcPr>
          <w:p>
            <w:pPr>
              <w:widowControl/>
              <w:spacing w:line="240" w:lineRule="exact"/>
              <w:jc w:val="center"/>
              <w:rPr>
                <w:rFonts w:hint="eastAsia" w:ascii="宋体" w:hAnsi="宋体" w:cs="宋体"/>
                <w:color w:val="000000"/>
                <w:kern w:val="0"/>
                <w:sz w:val="18"/>
                <w:szCs w:val="18"/>
              </w:rPr>
            </w:pPr>
          </w:p>
        </w:tc>
        <w:tc>
          <w:tcPr>
            <w:tcW w:w="816" w:type="pct"/>
            <w:vMerge w:val="continue"/>
            <w:shd w:val="clear" w:color="auto" w:fill="FFFFFF"/>
            <w:noWrap w:val="0"/>
            <w:vAlign w:val="center"/>
          </w:tcPr>
          <w:p>
            <w:pPr>
              <w:widowControl/>
              <w:spacing w:line="240" w:lineRule="exact"/>
              <w:jc w:val="center"/>
              <w:rPr>
                <w:rFonts w:hint="eastAsia" w:ascii="宋体" w:hAnsi="宋体" w:cs="宋体"/>
                <w:color w:val="000000"/>
                <w:kern w:val="0"/>
                <w:sz w:val="18"/>
                <w:szCs w:val="18"/>
              </w:rPr>
            </w:pPr>
          </w:p>
        </w:tc>
        <w:tc>
          <w:tcPr>
            <w:tcW w:w="413"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1439" w:type="pct"/>
            <w:vMerge w:val="continue"/>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p>
        </w:tc>
        <w:tc>
          <w:tcPr>
            <w:tcW w:w="373" w:type="pct"/>
            <w:vMerge w:val="continue"/>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p>
        </w:tc>
        <w:tc>
          <w:tcPr>
            <w:tcW w:w="900"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可持续效益</w:t>
            </w:r>
          </w:p>
        </w:tc>
        <w:tc>
          <w:tcPr>
            <w:tcW w:w="529" w:type="pct"/>
            <w:vMerge w:val="continue"/>
            <w:shd w:val="clear" w:color="auto" w:fill="FFFFFF"/>
            <w:noWrap w:val="0"/>
            <w:vAlign w:val="center"/>
          </w:tcPr>
          <w:p>
            <w:pPr>
              <w:widowControl/>
              <w:spacing w:line="240" w:lineRule="exact"/>
              <w:jc w:val="center"/>
              <w:rPr>
                <w:rFonts w:hint="eastAsia" w:ascii="宋体" w:hAnsi="宋体" w:cs="宋体"/>
                <w:color w:val="000000"/>
                <w:kern w:val="0"/>
                <w:sz w:val="18"/>
                <w:szCs w:val="18"/>
              </w:rPr>
            </w:pPr>
          </w:p>
        </w:tc>
        <w:tc>
          <w:tcPr>
            <w:tcW w:w="816" w:type="pct"/>
            <w:shd w:val="clear" w:color="auto" w:fill="FFFFFF"/>
            <w:noWrap w:val="0"/>
            <w:vAlign w:val="center"/>
          </w:tcPr>
          <w:p>
            <w:pPr>
              <w:widowControl/>
              <w:spacing w:line="240" w:lineRule="exact"/>
              <w:jc w:val="center"/>
              <w:rPr>
                <w:rFonts w:hint="eastAsia" w:ascii="宋体" w:hAnsi="宋体" w:cs="宋体"/>
                <w:color w:val="000000"/>
                <w:kern w:val="0"/>
                <w:sz w:val="18"/>
                <w:szCs w:val="18"/>
              </w:rPr>
            </w:pPr>
            <w:r>
              <w:rPr>
                <w:rFonts w:hint="eastAsia" w:ascii="宋体" w:hAnsi="宋体" w:cs="宋体"/>
                <w:color w:val="000000"/>
                <w:kern w:val="0"/>
                <w:sz w:val="18"/>
                <w:szCs w:val="18"/>
              </w:rPr>
              <w:t>通过综合分析项目近三年的资金情况和绩效情况，项目在财政资金支持下，可持续发展。</w:t>
            </w:r>
          </w:p>
        </w:tc>
        <w:tc>
          <w:tcPr>
            <w:tcW w:w="413" w:type="pct"/>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c>
          <w:tcPr>
            <w:tcW w:w="1439" w:type="pc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可持续发展得满分，</w:t>
            </w:r>
            <w:r>
              <w:rPr>
                <w:rFonts w:hint="eastAsia" w:ascii="宋体" w:hAnsi="宋体" w:cs="宋体"/>
                <w:color w:val="000000"/>
                <w:kern w:val="0"/>
                <w:sz w:val="18"/>
                <w:szCs w:val="18"/>
              </w:rPr>
              <w:t>否则不得分</w:t>
            </w:r>
          </w:p>
        </w:tc>
        <w:tc>
          <w:tcPr>
            <w:tcW w:w="373" w:type="pct"/>
            <w:shd w:val="clear" w:color="auto"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满意度</w:t>
            </w:r>
          </w:p>
        </w:tc>
        <w:tc>
          <w:tcPr>
            <w:tcW w:w="900"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社会公众或服务对象满意度</w:t>
            </w:r>
          </w:p>
        </w:tc>
        <w:tc>
          <w:tcPr>
            <w:tcW w:w="529" w:type="pct"/>
            <w:shd w:val="clear" w:color="auto" w:fill="FFFFFF"/>
            <w:noWrap w:val="0"/>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10</w:t>
            </w:r>
          </w:p>
        </w:tc>
        <w:tc>
          <w:tcPr>
            <w:tcW w:w="816" w:type="pc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宋体" w:hAnsi="宋体" w:cs="宋体"/>
                <w:color w:val="000000"/>
                <w:kern w:val="0"/>
                <w:sz w:val="18"/>
                <w:szCs w:val="18"/>
              </w:rPr>
              <w:t>满意度</w:t>
            </w:r>
          </w:p>
        </w:tc>
        <w:tc>
          <w:tcPr>
            <w:tcW w:w="413" w:type="pct"/>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10</w:t>
            </w:r>
          </w:p>
        </w:tc>
        <w:tc>
          <w:tcPr>
            <w:tcW w:w="1439" w:type="pct"/>
            <w:shd w:val="clear" w:color="auto" w:fill="FFFFFF"/>
            <w:noWrap w:val="0"/>
            <w:vAlign w:val="center"/>
          </w:tcPr>
          <w:p>
            <w:pPr>
              <w:widowControl/>
              <w:spacing w:line="240" w:lineRule="exact"/>
              <w:rPr>
                <w:rFonts w:hint="eastAsia" w:ascii="方正书宋简体" w:hAnsi="黑体" w:eastAsia="方正书宋简体" w:cs="宋体"/>
                <w:color w:val="000000"/>
                <w:kern w:val="0"/>
                <w:szCs w:val="21"/>
              </w:rPr>
            </w:pPr>
            <w:r>
              <w:rPr>
                <w:rFonts w:hint="eastAsia" w:ascii="宋体" w:hAnsi="宋体" w:cs="宋体"/>
                <w:color w:val="000000"/>
                <w:kern w:val="0"/>
                <w:sz w:val="18"/>
                <w:szCs w:val="18"/>
              </w:rPr>
              <w:t>社会公众或服务对象对项目实施效果的满意程度</w:t>
            </w:r>
            <w:r>
              <w:rPr>
                <w:rFonts w:hint="eastAsia" w:ascii="方正书宋简体" w:hAnsi="黑体" w:eastAsia="方正书宋简体" w:cs="宋体"/>
                <w:color w:val="000000"/>
                <w:kern w:val="0"/>
                <w:szCs w:val="21"/>
              </w:rPr>
              <w:t>≥85%,得满分，</w:t>
            </w:r>
            <w:r>
              <w:rPr>
                <w:rFonts w:hint="eastAsia" w:ascii="宋体" w:hAnsi="宋体" w:cs="宋体"/>
                <w:color w:val="000000"/>
                <w:kern w:val="0"/>
                <w:sz w:val="18"/>
                <w:szCs w:val="18"/>
              </w:rPr>
              <w:t>否则不得分</w:t>
            </w:r>
          </w:p>
        </w:tc>
        <w:tc>
          <w:tcPr>
            <w:tcW w:w="373" w:type="pct"/>
            <w:shd w:val="clear" w:color="auto" w:fill="FFFFFF"/>
            <w:noWrap w:val="0"/>
            <w:vAlign w:val="center"/>
          </w:tcPr>
          <w:p>
            <w:pPr>
              <w:widowControl/>
              <w:spacing w:line="240" w:lineRule="exact"/>
              <w:rPr>
                <w:rFonts w:hint="default" w:ascii="方正书宋简体" w:hAnsi="黑体" w:eastAsia="方正书宋简体" w:cs="宋体"/>
                <w:color w:val="000000"/>
                <w:kern w:val="0"/>
                <w:szCs w:val="21"/>
                <w:lang w:val="en-US" w:eastAsia="zh-CN"/>
              </w:rPr>
            </w:pPr>
            <w:r>
              <w:rPr>
                <w:rFonts w:hint="eastAsia" w:ascii="方正书宋简体" w:hAnsi="黑体" w:eastAsia="方正书宋简体" w:cs="宋体"/>
                <w:color w:val="000000"/>
                <w:kern w:val="0"/>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4626" w:type="pct"/>
            <w:gridSpan w:val="6"/>
            <w:shd w:val="clear" w:color="auto" w:fill="FFFFFF"/>
            <w:noWrap w:val="0"/>
            <w:vAlign w:val="center"/>
          </w:tcPr>
          <w:p>
            <w:pPr>
              <w:widowControl/>
              <w:spacing w:line="240" w:lineRule="exact"/>
              <w:jc w:val="center"/>
              <w:rPr>
                <w:rFonts w:ascii="方正书宋简体" w:hAnsi="黑体" w:eastAsia="方正书宋简体" w:cs="宋体"/>
                <w:color w:val="000000"/>
                <w:kern w:val="0"/>
                <w:szCs w:val="21"/>
              </w:rPr>
            </w:pPr>
            <w:r>
              <w:rPr>
                <w:rFonts w:hint="eastAsia" w:ascii="方正书宋简体" w:hAnsi="黑体" w:eastAsia="方正书宋简体" w:cs="宋体"/>
                <w:bCs/>
                <w:color w:val="000000"/>
                <w:kern w:val="0"/>
                <w:szCs w:val="21"/>
              </w:rPr>
              <w:t>总分:100</w:t>
            </w:r>
          </w:p>
        </w:tc>
        <w:tc>
          <w:tcPr>
            <w:tcW w:w="373" w:type="pct"/>
            <w:shd w:val="clear" w:color="auto" w:fill="FFFFFF"/>
            <w:noWrap w:val="0"/>
            <w:vAlign w:val="center"/>
          </w:tcPr>
          <w:p>
            <w:pPr>
              <w:widowControl/>
              <w:spacing w:line="240" w:lineRule="exact"/>
              <w:rPr>
                <w:rFonts w:ascii="方正书宋简体" w:hAnsi="黑体" w:eastAsia="方正书宋简体" w:cs="宋体"/>
                <w:color w:val="000000"/>
                <w:kern w:val="0"/>
                <w:szCs w:val="21"/>
              </w:rPr>
            </w:pPr>
            <w:r>
              <w:rPr>
                <w:rFonts w:hint="eastAsia" w:ascii="方正书宋简体" w:hAnsi="黑体" w:eastAsia="方正书宋简体" w:cs="宋体"/>
                <w:color w:val="000000"/>
                <w:kern w:val="0"/>
                <w:szCs w:val="21"/>
              </w:rPr>
              <w:t>9</w:t>
            </w:r>
            <w:r>
              <w:rPr>
                <w:rFonts w:hint="eastAsia" w:ascii="方正书宋简体" w:hAnsi="黑体" w:eastAsia="方正书宋简体" w:cs="宋体"/>
                <w:color w:val="000000"/>
                <w:kern w:val="0"/>
                <w:szCs w:val="21"/>
                <w:lang w:val="en-US" w:eastAsia="zh-CN"/>
              </w:rPr>
              <w:t>6</w:t>
            </w:r>
            <w:r>
              <w:rPr>
                <w:rFonts w:hint="eastAsia" w:ascii="方正书宋简体" w:hAnsi="黑体" w:eastAsia="方正书宋简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restart"/>
            <w:shd w:val="clear" w:color="auto" w:fill="FFFFFF"/>
            <w:noWrap w:val="0"/>
            <w:vAlign w:val="center"/>
          </w:tcPr>
          <w:p>
            <w:pPr>
              <w:widowControl/>
              <w:spacing w:line="240" w:lineRule="exact"/>
              <w:jc w:val="center"/>
              <w:rPr>
                <w:rFonts w:hint="eastAsia" w:ascii="方正书宋简体" w:hAnsi="黑体" w:eastAsia="方正书宋简体" w:cs="宋体"/>
                <w:color w:val="000000"/>
                <w:kern w:val="0"/>
                <w:szCs w:val="21"/>
              </w:rPr>
            </w:pPr>
            <w:r>
              <w:rPr>
                <w:rFonts w:hint="eastAsia" w:ascii="黑体" w:hAnsi="宋体" w:eastAsia="黑体" w:cs="黑体"/>
                <w:bCs/>
                <w:color w:val="000000"/>
                <w:kern w:val="0"/>
                <w:szCs w:val="21"/>
                <w:lang w:bidi="ar"/>
              </w:rPr>
              <w:t>评价等级</w:t>
            </w:r>
          </w:p>
          <w:p>
            <w:pPr>
              <w:widowControl/>
              <w:spacing w:line="240" w:lineRule="exact"/>
              <w:jc w:val="center"/>
              <w:rPr>
                <w:rFonts w:hint="eastAsia" w:ascii="方正书宋简体" w:hAnsi="黑体" w:eastAsia="方正书宋简体" w:cs="宋体"/>
                <w:bCs/>
                <w:color w:val="000000"/>
                <w:kern w:val="0"/>
                <w:szCs w:val="21"/>
              </w:rPr>
            </w:pPr>
          </w:p>
        </w:tc>
        <w:tc>
          <w:tcPr>
            <w:tcW w:w="4471" w:type="pct"/>
            <w:gridSpan w:val="6"/>
            <w:shd w:val="clear" w:color="auto" w:fill="FFFFFF"/>
            <w:noWrap w:val="0"/>
            <w:vAlign w:val="center"/>
          </w:tcPr>
          <w:p>
            <w:pPr>
              <w:widowControl/>
              <w:spacing w:line="240" w:lineRule="exact"/>
              <w:jc w:val="center"/>
              <w:rPr>
                <w:rFonts w:hint="eastAsia" w:ascii="黑体" w:hAnsi="宋体" w:eastAsia="黑体" w:cs="黑体"/>
                <w:b/>
                <w:color w:val="000000"/>
                <w:kern w:val="0"/>
                <w:szCs w:val="21"/>
                <w:lang w:bidi="ar"/>
              </w:rPr>
            </w:pPr>
            <w:r>
              <w:rPr>
                <w:rFonts w:hint="eastAsia" w:ascii="黑体" w:hAnsi="黑体" w:eastAsia="黑体" w:cs="黑体"/>
                <w:color w:val="000000"/>
                <w:kern w:val="0"/>
                <w:szCs w:val="21"/>
              </w:rPr>
              <w:sym w:font="Wingdings 2" w:char="F052"/>
            </w:r>
            <w:r>
              <w:rPr>
                <w:rFonts w:hint="eastAsia" w:ascii="黑体" w:hAnsi="黑体" w:eastAsia="黑体" w:cs="黑体"/>
                <w:color w:val="000000"/>
                <w:kern w:val="0"/>
                <w:szCs w:val="21"/>
              </w:rPr>
              <w:t xml:space="preserve">优        </w:t>
            </w:r>
            <w:r>
              <w:rPr>
                <w:rFonts w:hint="eastAsia" w:ascii="黑体" w:hAnsi="黑体" w:eastAsia="黑体" w:cs="黑体"/>
                <w:color w:val="000000"/>
                <w:kern w:val="0"/>
                <w:szCs w:val="21"/>
              </w:rPr>
              <w:sym w:font="Wingdings 2" w:char="00A3"/>
            </w:r>
            <w:r>
              <w:rPr>
                <w:rFonts w:hint="eastAsia" w:ascii="黑体" w:hAnsi="黑体" w:eastAsia="黑体" w:cs="黑体"/>
                <w:color w:val="000000"/>
                <w:kern w:val="0"/>
                <w:szCs w:val="21"/>
              </w:rPr>
              <w:t xml:space="preserve">良        </w:t>
            </w:r>
            <w:r>
              <w:rPr>
                <w:rFonts w:hint="eastAsia" w:ascii="黑体" w:hAnsi="黑体" w:eastAsia="黑体" w:cs="黑体"/>
                <w:color w:val="000000"/>
                <w:kern w:val="0"/>
                <w:szCs w:val="21"/>
              </w:rPr>
              <w:sym w:font="Wingdings 2" w:char="00A3"/>
            </w:r>
            <w:r>
              <w:rPr>
                <w:rFonts w:hint="eastAsia" w:ascii="黑体" w:hAnsi="黑体" w:eastAsia="黑体" w:cs="黑体"/>
                <w:color w:val="000000"/>
                <w:kern w:val="0"/>
                <w:szCs w:val="21"/>
              </w:rPr>
              <w:t xml:space="preserve">中         </w:t>
            </w:r>
            <w:r>
              <w:rPr>
                <w:rFonts w:hint="eastAsia" w:ascii="黑体" w:hAnsi="黑体" w:eastAsia="黑体" w:cs="黑体"/>
                <w:color w:val="000000"/>
                <w:kern w:val="0"/>
                <w:szCs w:val="21"/>
              </w:rPr>
              <w:sym w:font="Wingdings 2" w:char="00A3"/>
            </w:r>
            <w:r>
              <w:rPr>
                <w:rFonts w:hint="eastAsia" w:ascii="黑体" w:hAnsi="黑体" w:eastAsia="黑体" w:cs="黑体"/>
                <w:color w:val="000000"/>
                <w:kern w:val="0"/>
                <w:szCs w:val="21"/>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528" w:type="pct"/>
            <w:vMerge w:val="continue"/>
            <w:shd w:val="clear" w:color="auto" w:fill="FFFFFF"/>
            <w:noWrap w:val="0"/>
            <w:vAlign w:val="center"/>
          </w:tcPr>
          <w:p>
            <w:pPr>
              <w:widowControl/>
              <w:spacing w:line="240" w:lineRule="exact"/>
              <w:jc w:val="center"/>
              <w:rPr>
                <w:rFonts w:hint="eastAsia" w:ascii="方正书宋简体" w:hAnsi="黑体" w:eastAsia="方正书宋简体" w:cs="宋体"/>
                <w:bCs/>
                <w:color w:val="000000"/>
                <w:kern w:val="0"/>
                <w:szCs w:val="21"/>
              </w:rPr>
            </w:pPr>
          </w:p>
        </w:tc>
        <w:tc>
          <w:tcPr>
            <w:tcW w:w="4471" w:type="pct"/>
            <w:gridSpan w:val="6"/>
            <w:shd w:val="clear" w:color="auto" w:fill="FFFFFF"/>
            <w:noWrap w:val="0"/>
            <w:vAlign w:val="center"/>
          </w:tcPr>
          <w:p>
            <w:pPr>
              <w:widowControl/>
              <w:spacing w:line="240" w:lineRule="exact"/>
              <w:rPr>
                <w:rFonts w:hint="eastAsia" w:ascii="黑体" w:hAnsi="黑体" w:eastAsia="黑体" w:cs="黑体"/>
                <w:color w:val="000000"/>
                <w:kern w:val="0"/>
                <w:szCs w:val="21"/>
              </w:rPr>
            </w:pPr>
            <w:r>
              <w:rPr>
                <w:rFonts w:hint="eastAsia" w:ascii="黑体" w:hAnsi="黑体" w:eastAsia="黑体" w:cs="黑体"/>
                <w:color w:val="000000"/>
                <w:kern w:val="0"/>
                <w:szCs w:val="21"/>
              </w:rPr>
              <w:t>90（含）-100分为优、80（含）-90分为良、60（含）-80分为中、60分以下为所需 差</w:t>
            </w:r>
          </w:p>
        </w:tc>
      </w:tr>
    </w:tbl>
    <w:tbl>
      <w:tblPr>
        <w:tblStyle w:val="6"/>
        <w:tblpPr w:leftFromText="180" w:rightFromText="180" w:vertAnchor="text" w:tblpX="-3708" w:tblpY="-8600"/>
        <w:tblOverlap w:val="never"/>
        <w:tblW w:w="129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000" w:type="pct"/>
            <w:noWrap w:val="0"/>
            <w:vAlign w:val="top"/>
          </w:tcPr>
          <w:p>
            <w:pPr>
              <w:spacing w:line="600" w:lineRule="exact"/>
              <w:rPr>
                <w:rFonts w:hint="eastAsia" w:ascii="黑体" w:hAnsi="宋体" w:eastAsia="黑体" w:cs="Arial"/>
                <w:bCs/>
                <w:color w:val="000000"/>
                <w:sz w:val="20"/>
              </w:rPr>
            </w:pP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简体">
    <w:altName w:val="宋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MS Mincho">
    <w:panose1 w:val="02020609040205080304"/>
    <w:charset w:val="80"/>
    <w:family w:val="modern"/>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6 -</w:t>
    </w:r>
    <w:r>
      <w:rPr>
        <w:sz w:val="28"/>
        <w:szCs w:val="28"/>
      </w:rPr>
      <w:fldChar w:fldCharType="end"/>
    </w:r>
  </w:p>
  <w:p>
    <w:pPr>
      <w:pStyle w:val="3"/>
      <w:ind w:left="5250"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20 -</w:t>
    </w:r>
    <w:r>
      <w:rPr>
        <w:sz w:val="28"/>
        <w:szCs w:val="28"/>
      </w:rPr>
      <w:fldChar w:fldCharType="end"/>
    </w:r>
  </w:p>
  <w:p>
    <w:pPr>
      <w:pStyle w:val="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25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B9A7E7"/>
    <w:multiLevelType w:val="singleLevel"/>
    <w:tmpl w:val="91B9A7E7"/>
    <w:lvl w:ilvl="0" w:tentative="0">
      <w:start w:val="1"/>
      <w:numFmt w:val="chineseCounting"/>
      <w:suff w:val="nothing"/>
      <w:lvlText w:val="(%1）"/>
      <w:lvlJc w:val="left"/>
      <w:rPr>
        <w:rFonts w:hint="eastAsia"/>
      </w:rPr>
    </w:lvl>
  </w:abstractNum>
  <w:abstractNum w:abstractNumId="1">
    <w:nsid w:val="95518E67"/>
    <w:multiLevelType w:val="singleLevel"/>
    <w:tmpl w:val="95518E67"/>
    <w:lvl w:ilvl="0" w:tentative="0">
      <w:start w:val="2"/>
      <w:numFmt w:val="chineseCounting"/>
      <w:suff w:val="nothing"/>
      <w:lvlText w:val="（%1）"/>
      <w:lvlJc w:val="left"/>
      <w:rPr>
        <w:rFonts w:hint="eastAsia"/>
      </w:rPr>
    </w:lvl>
  </w:abstractNum>
  <w:abstractNum w:abstractNumId="2">
    <w:nsid w:val="0B8BA677"/>
    <w:multiLevelType w:val="singleLevel"/>
    <w:tmpl w:val="0B8BA677"/>
    <w:lvl w:ilvl="0" w:tentative="0">
      <w:start w:val="2"/>
      <w:numFmt w:val="chineseCounting"/>
      <w:suff w:val="nothing"/>
      <w:lvlText w:val="（%1）"/>
      <w:lvlJc w:val="left"/>
      <w:rPr>
        <w:rFonts w:hint="eastAsia"/>
      </w:rPr>
    </w:lvl>
  </w:abstractNum>
  <w:abstractNum w:abstractNumId="3">
    <w:nsid w:val="0F0E37BE"/>
    <w:multiLevelType w:val="multilevel"/>
    <w:tmpl w:val="0F0E37BE"/>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4">
    <w:nsid w:val="22069C3C"/>
    <w:multiLevelType w:val="singleLevel"/>
    <w:tmpl w:val="22069C3C"/>
    <w:lvl w:ilvl="0" w:tentative="0">
      <w:start w:val="3"/>
      <w:numFmt w:val="chineseCounting"/>
      <w:suff w:val="nothing"/>
      <w:lvlText w:val="（%1）"/>
      <w:lvlJc w:val="left"/>
      <w:rPr>
        <w:rFonts w:hint="eastAsia"/>
      </w:rPr>
    </w:lvl>
  </w:abstractNum>
  <w:abstractNum w:abstractNumId="5">
    <w:nsid w:val="237C174E"/>
    <w:multiLevelType w:val="multilevel"/>
    <w:tmpl w:val="237C174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9902128"/>
    <w:multiLevelType w:val="multilevel"/>
    <w:tmpl w:val="29902128"/>
    <w:lvl w:ilvl="0" w:tentative="0">
      <w:start w:val="1"/>
      <w:numFmt w:val="decimalEnclosedCircle"/>
      <w:lvlText w:val="%1"/>
      <w:lvlJc w:val="left"/>
      <w:pPr>
        <w:ind w:left="360" w:hanging="360"/>
      </w:pPr>
      <w:rPr>
        <w:rFonts w:hint="default" w:ascii="宋体" w:hAnsi="宋体" w:eastAsia="宋体"/>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CBA49A"/>
    <w:multiLevelType w:val="singleLevel"/>
    <w:tmpl w:val="29CBA49A"/>
    <w:lvl w:ilvl="0" w:tentative="0">
      <w:start w:val="2"/>
      <w:numFmt w:val="decimal"/>
      <w:suff w:val="space"/>
      <w:lvlText w:val="%1."/>
      <w:lvlJc w:val="left"/>
    </w:lvl>
  </w:abstractNum>
  <w:abstractNum w:abstractNumId="8">
    <w:nsid w:val="2A9CC670"/>
    <w:multiLevelType w:val="singleLevel"/>
    <w:tmpl w:val="2A9CC670"/>
    <w:lvl w:ilvl="0" w:tentative="0">
      <w:start w:val="1"/>
      <w:numFmt w:val="decimal"/>
      <w:suff w:val="nothing"/>
      <w:lvlText w:val="（%1）"/>
      <w:lvlJc w:val="left"/>
    </w:lvl>
  </w:abstractNum>
  <w:abstractNum w:abstractNumId="9">
    <w:nsid w:val="4A73BA61"/>
    <w:multiLevelType w:val="singleLevel"/>
    <w:tmpl w:val="4A73BA61"/>
    <w:lvl w:ilvl="0" w:tentative="0">
      <w:start w:val="1"/>
      <w:numFmt w:val="chineseCounting"/>
      <w:suff w:val="nothing"/>
      <w:lvlText w:val="（%1）"/>
      <w:lvlJc w:val="left"/>
      <w:rPr>
        <w:rFonts w:hint="eastAsia"/>
      </w:rPr>
    </w:lvl>
  </w:abstractNum>
  <w:abstractNum w:abstractNumId="10">
    <w:nsid w:val="5ACB6FAB"/>
    <w:multiLevelType w:val="multilevel"/>
    <w:tmpl w:val="5ACB6FAB"/>
    <w:lvl w:ilvl="0" w:tentative="0">
      <w:start w:val="3"/>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2"/>
  </w:num>
  <w:num w:numId="3">
    <w:abstractNumId w:val="4"/>
  </w:num>
  <w:num w:numId="4">
    <w:abstractNumId w:val="6"/>
  </w:num>
  <w:num w:numId="5">
    <w:abstractNumId w:val="5"/>
  </w:num>
  <w:num w:numId="6">
    <w:abstractNumId w:val="9"/>
  </w:num>
  <w:num w:numId="7">
    <w:abstractNumId w:val="7"/>
  </w:num>
  <w:num w:numId="8">
    <w:abstractNumId w:val="8"/>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hYmJlMjNmYjJmY2QyMTE2NzdmOTcyZGQ1NzkyMjAifQ=="/>
  </w:docVars>
  <w:rsids>
    <w:rsidRoot w:val="76BF0BAB"/>
    <w:rsid w:val="04504BAA"/>
    <w:rsid w:val="08BF22FE"/>
    <w:rsid w:val="0C542D5E"/>
    <w:rsid w:val="111927C8"/>
    <w:rsid w:val="172E0C3B"/>
    <w:rsid w:val="17E80427"/>
    <w:rsid w:val="27FA128D"/>
    <w:rsid w:val="30924FF4"/>
    <w:rsid w:val="3CD52E2E"/>
    <w:rsid w:val="3F3D39F5"/>
    <w:rsid w:val="42054771"/>
    <w:rsid w:val="44EB3558"/>
    <w:rsid w:val="533B0519"/>
    <w:rsid w:val="547E3BBD"/>
    <w:rsid w:val="5DCF35BF"/>
    <w:rsid w:val="5DD8728E"/>
    <w:rsid w:val="5F131BD1"/>
    <w:rsid w:val="6D505D9E"/>
    <w:rsid w:val="76BF0BAB"/>
    <w:rsid w:val="7B8C26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adjustRightInd w:val="0"/>
      <w:snapToGrid w:val="0"/>
      <w:spacing w:line="560" w:lineRule="atLeast"/>
      <w:ind w:firstLine="640" w:firstLineChars="200"/>
    </w:pPr>
    <w:rPr>
      <w:rFonts w:eastAsia="仿宋_GB2312"/>
      <w:kern w:val="0"/>
      <w:sz w:val="32"/>
      <w:szCs w:val="28"/>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8">
    <w:name w:val="p0"/>
    <w:basedOn w:val="1"/>
    <w:qFormat/>
    <w:uiPriority w:val="0"/>
    <w:pPr>
      <w:widowControl/>
    </w:pPr>
    <w:rPr>
      <w:kern w:val="0"/>
      <w:szCs w:val="21"/>
    </w:rPr>
  </w:style>
  <w:style w:type="paragraph" w:styleId="9">
    <w:name w:val="No Spacing"/>
    <w:qFormat/>
    <w:uiPriority w:val="1"/>
    <w:pPr>
      <w:widowControl w:val="0"/>
      <w:jc w:val="both"/>
    </w:pPr>
    <w:rPr>
      <w:rFonts w:ascii="Calibri" w:hAnsi="Calibri" w:eastAsia="宋体" w:cs="黑体"/>
      <w:kern w:val="2"/>
      <w:sz w:val="21"/>
      <w:szCs w:val="22"/>
      <w:lang w:val="en-US" w:eastAsia="zh-CN" w:bidi="ar-SA"/>
    </w:rPr>
  </w:style>
  <w:style w:type="paragraph" w:customStyle="1" w:styleId="10">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image" Target="media/image10.emf"/><Relationship Id="rId18" Type="http://schemas.openxmlformats.org/officeDocument/2006/relationships/oleObject" Target="embeddings/oleObject2.bin"/><Relationship Id="rId17" Type="http://schemas.openxmlformats.org/officeDocument/2006/relationships/image" Target="media/image9.emf"/><Relationship Id="rId16" Type="http://schemas.openxmlformats.org/officeDocument/2006/relationships/image" Target="media/image8.emf"/><Relationship Id="rId15" Type="http://schemas.openxmlformats.org/officeDocument/2006/relationships/image" Target="media/image7.emf"/><Relationship Id="rId14" Type="http://schemas.openxmlformats.org/officeDocument/2006/relationships/image" Target="media/image6.emf"/><Relationship Id="rId13" Type="http://schemas.openxmlformats.org/officeDocument/2006/relationships/image" Target="media/image5.emf"/><Relationship Id="rId12" Type="http://schemas.openxmlformats.org/officeDocument/2006/relationships/image" Target="media/image4.emf"/><Relationship Id="rId11" Type="http://schemas.openxmlformats.org/officeDocument/2006/relationships/image" Target="media/image3.emf"/><Relationship Id="rId10" Type="http://schemas.openxmlformats.org/officeDocument/2006/relationships/image" Target="media/image2.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52</Pages>
  <Words>22603</Words>
  <Characters>24185</Characters>
  <Lines>0</Lines>
  <Paragraphs>0</Paragraphs>
  <TotalTime>32</TotalTime>
  <ScaleCrop>false</ScaleCrop>
  <LinksUpToDate>false</LinksUpToDate>
  <CharactersWithSpaces>24513</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2022-08-24T09:11:00Z</dcterms:created>
  <dc:creator>依妮</dc:creator>
  <cp:lastModifiedBy>Final Aeon</cp:lastModifiedBy>
  <dcterms:modified xsi:type="dcterms:W3CDTF">2023-10-09T04:04:12Z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796E8CF0B3A546A9ACCE1382556CB5DB</vt:lpwstr>
  </property>
</Properties>
</file>