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eastAsia="仿宋" w:cs="仿宋"/>
          <w:b/>
          <w:bCs/>
          <w:sz w:val="44"/>
          <w:szCs w:val="36"/>
        </w:rPr>
      </w:pPr>
      <w:r>
        <w:rPr>
          <w:rFonts w:hint="eastAsia" w:ascii="仿宋" w:hAnsi="仿宋" w:eastAsia="仿宋" w:cs="仿宋"/>
          <w:b/>
          <w:bCs/>
          <w:sz w:val="44"/>
          <w:szCs w:val="36"/>
        </w:rPr>
        <w:t>西湖区</w:t>
      </w:r>
      <w:r>
        <w:rPr>
          <w:rFonts w:hint="eastAsia" w:ascii="仿宋" w:hAnsi="仿宋" w:eastAsia="仿宋" w:cs="仿宋"/>
          <w:b/>
          <w:bCs/>
          <w:sz w:val="44"/>
          <w:szCs w:val="36"/>
          <w:lang w:eastAsia="zh-CN"/>
        </w:rPr>
        <w:t>文化</w:t>
      </w:r>
      <w:r>
        <w:rPr>
          <w:rFonts w:hint="eastAsia" w:ascii="仿宋" w:hAnsi="仿宋" w:eastAsia="仿宋" w:cs="仿宋"/>
          <w:b/>
          <w:bCs/>
          <w:sz w:val="44"/>
          <w:szCs w:val="36"/>
        </w:rPr>
        <w:t>馆2020年度部门决算</w:t>
      </w:r>
    </w:p>
    <w:p>
      <w:pPr>
        <w:spacing w:line="600" w:lineRule="exact"/>
        <w:jc w:val="center"/>
        <w:rPr>
          <w:rFonts w:hint="eastAsia" w:ascii="黑体" w:eastAsia="黑体"/>
          <w:sz w:val="44"/>
          <w:szCs w:val="36"/>
        </w:rPr>
      </w:pPr>
    </w:p>
    <w:p>
      <w:pPr>
        <w:spacing w:line="600" w:lineRule="exact"/>
        <w:jc w:val="center"/>
        <w:rPr>
          <w:rFonts w:hint="eastAsia" w:ascii="仿宋" w:hAnsi="仿宋" w:eastAsia="仿宋" w:cs="仿宋"/>
          <w:b/>
          <w:bCs/>
          <w:sz w:val="44"/>
          <w:szCs w:val="36"/>
        </w:rPr>
      </w:pPr>
      <w:r>
        <w:rPr>
          <w:rFonts w:hint="eastAsia" w:ascii="仿宋" w:hAnsi="仿宋" w:eastAsia="仿宋" w:cs="仿宋"/>
          <w:b/>
          <w:bCs/>
          <w:sz w:val="44"/>
          <w:szCs w:val="36"/>
        </w:rPr>
        <w:t>目  录</w:t>
      </w:r>
    </w:p>
    <w:p>
      <w:pPr>
        <w:widowControl/>
        <w:spacing w:line="600" w:lineRule="exact"/>
        <w:ind w:firstLine="640"/>
        <w:jc w:val="left"/>
        <w:rPr>
          <w:rFonts w:hint="eastAsia" w:ascii="仿宋_GB2312" w:eastAsia="仿宋_GB2312"/>
          <w:sz w:val="32"/>
          <w:szCs w:val="30"/>
        </w:rPr>
      </w:pPr>
    </w:p>
    <w:p>
      <w:pPr>
        <w:widowControl/>
        <w:spacing w:line="720" w:lineRule="auto"/>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第一部分  南昌市西湖区文广新局概况</w:t>
      </w:r>
    </w:p>
    <w:p>
      <w:pPr>
        <w:widowControl/>
        <w:spacing w:line="720" w:lineRule="auto"/>
        <w:ind w:firstLine="1280" w:firstLineChars="400"/>
        <w:jc w:val="left"/>
        <w:rPr>
          <w:rFonts w:hint="eastAsia" w:ascii="仿宋" w:hAnsi="仿宋" w:eastAsia="仿宋"/>
          <w:b w:val="0"/>
          <w:bCs w:val="0"/>
          <w:sz w:val="32"/>
          <w:szCs w:val="30"/>
        </w:rPr>
      </w:pPr>
      <w:r>
        <w:rPr>
          <w:rFonts w:hint="eastAsia" w:ascii="仿宋" w:hAnsi="仿宋" w:eastAsia="仿宋"/>
          <w:b w:val="0"/>
          <w:bCs w:val="0"/>
          <w:sz w:val="32"/>
          <w:szCs w:val="30"/>
        </w:rPr>
        <w:t>一、部门主要职责</w:t>
      </w:r>
    </w:p>
    <w:p>
      <w:pPr>
        <w:widowControl/>
        <w:spacing w:line="720" w:lineRule="auto"/>
        <w:ind w:firstLine="1280" w:firstLineChars="400"/>
        <w:jc w:val="left"/>
        <w:rPr>
          <w:rFonts w:hint="eastAsia" w:ascii="仿宋" w:hAnsi="仿宋" w:eastAsia="仿宋" w:cs="Times New Roman"/>
          <w:b w:val="0"/>
          <w:bCs w:val="0"/>
          <w:sz w:val="32"/>
          <w:szCs w:val="30"/>
        </w:rPr>
      </w:pPr>
      <w:r>
        <w:rPr>
          <w:rFonts w:hint="eastAsia" w:ascii="仿宋" w:hAnsi="仿宋" w:eastAsia="仿宋" w:cs="Times New Roman"/>
          <w:b w:val="0"/>
          <w:bCs w:val="0"/>
          <w:sz w:val="32"/>
          <w:szCs w:val="30"/>
        </w:rPr>
        <w:t>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w:t>
      </w:r>
      <w:r>
        <w:rPr>
          <w:rFonts w:hint="eastAsia" w:ascii="黑体" w:hAnsi="黑体" w:eastAsia="黑体"/>
          <w:sz w:val="32"/>
          <w:szCs w:val="32"/>
          <w:lang w:val="en-US" w:eastAsia="zh-CN"/>
        </w:rPr>
        <w:t>20</w:t>
      </w:r>
      <w:r>
        <w:rPr>
          <w:rFonts w:hint="eastAsia" w:ascii="黑体" w:hAnsi="黑体" w:eastAsia="黑体"/>
          <w:sz w:val="32"/>
          <w:szCs w:val="32"/>
        </w:rPr>
        <w:t>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w:t>
      </w:r>
      <w:r>
        <w:rPr>
          <w:rFonts w:hint="eastAsia" w:ascii="仿宋" w:hAnsi="仿宋" w:eastAsia="仿宋" w:cs="宋体"/>
          <w:kern w:val="0"/>
          <w:sz w:val="32"/>
          <w:szCs w:val="32"/>
          <w:lang w:eastAsia="zh-CN"/>
        </w:rPr>
        <w:t>算</w:t>
      </w: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1280" w:firstLineChars="4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eastAsia="zh-CN"/>
        </w:rPr>
        <w:t>九、</w:t>
      </w:r>
      <w:r>
        <w:rPr>
          <w:rFonts w:hint="eastAsia" w:ascii="仿宋" w:hAnsi="仿宋" w:eastAsia="仿宋" w:cs="宋体"/>
          <w:kern w:val="0"/>
          <w:sz w:val="32"/>
          <w:szCs w:val="32"/>
        </w:rPr>
        <w:t>国有资</w:t>
      </w:r>
      <w:r>
        <w:rPr>
          <w:rFonts w:hint="eastAsia" w:ascii="仿宋" w:hAnsi="仿宋" w:eastAsia="仿宋" w:cs="宋体"/>
          <w:kern w:val="0"/>
          <w:sz w:val="32"/>
          <w:szCs w:val="32"/>
          <w:lang w:eastAsia="zh-CN"/>
        </w:rPr>
        <w:t>本经营预算财政拨款收入支出决算表</w:t>
      </w:r>
      <w:r>
        <w:rPr>
          <w:rFonts w:hint="eastAsia" w:ascii="仿宋" w:hAnsi="仿宋" w:eastAsia="仿宋" w:cs="宋体"/>
          <w:kern w:val="0"/>
          <w:sz w:val="32"/>
          <w:szCs w:val="32"/>
          <w:lang w:val="en-US" w:eastAsia="zh-CN"/>
        </w:rPr>
        <w:t xml:space="preserve"> </w:t>
      </w:r>
    </w:p>
    <w:p>
      <w:pPr>
        <w:widowControl/>
        <w:spacing w:line="600" w:lineRule="exact"/>
        <w:ind w:firstLine="1280" w:firstLineChars="40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十、</w:t>
      </w:r>
      <w:r>
        <w:rPr>
          <w:rFonts w:hint="eastAsia" w:ascii="仿宋" w:hAnsi="仿宋" w:eastAsia="仿宋"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w:t>
      </w:r>
      <w:r>
        <w:rPr>
          <w:rFonts w:hint="eastAsia" w:ascii="黑体" w:hAnsi="黑体" w:eastAsia="黑体"/>
          <w:sz w:val="32"/>
          <w:szCs w:val="32"/>
          <w:lang w:val="en-US" w:eastAsia="zh-CN"/>
        </w:rPr>
        <w:t>20</w:t>
      </w:r>
      <w:r>
        <w:rPr>
          <w:rFonts w:hint="eastAsia" w:ascii="黑体" w:hAnsi="黑体" w:eastAsia="黑体"/>
          <w:sz w:val="32"/>
          <w:szCs w:val="32"/>
        </w:rPr>
        <w:t>年度部门决算情况说明</w:t>
      </w:r>
    </w:p>
    <w:p>
      <w:pPr>
        <w:widowControl/>
        <w:spacing w:line="600" w:lineRule="exact"/>
        <w:ind w:firstLine="1280" w:firstLineChars="400"/>
        <w:jc w:val="left"/>
        <w:rPr>
          <w:rFonts w:hint="eastAsia" w:ascii="仿宋" w:hAnsi="仿宋" w:eastAsia="仿宋"/>
          <w:sz w:val="32"/>
          <w:szCs w:val="30"/>
          <w:lang w:eastAsia="zh-CN"/>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hint="eastAsia" w:ascii="仿宋" w:hAnsi="仿宋" w:eastAsia="仿宋"/>
          <w:sz w:val="32"/>
          <w:szCs w:val="30"/>
        </w:rPr>
      </w:pPr>
    </w:p>
    <w:p>
      <w:pPr>
        <w:widowControl/>
        <w:numPr>
          <w:ilvl w:val="0"/>
          <w:numId w:val="1"/>
        </w:num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 xml:space="preserve">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rPr>
          <w:rFonts w:hint="eastAsia" w:ascii="宋体" w:hAnsi="宋体"/>
          <w:b/>
          <w:sz w:val="36"/>
          <w:szCs w:val="36"/>
        </w:rPr>
      </w:pPr>
    </w:p>
    <w:p>
      <w:pPr>
        <w:spacing w:beforeLines="100" w:afterLines="100"/>
        <w:jc w:val="left"/>
        <w:rPr>
          <w:rFonts w:hint="eastAsia" w:ascii="仿宋" w:hAnsi="仿宋" w:eastAsia="仿宋" w:cs="仿宋"/>
          <w:b/>
          <w:bCs w:val="0"/>
          <w:sz w:val="32"/>
          <w:szCs w:val="32"/>
        </w:rPr>
      </w:pPr>
      <w:r>
        <w:rPr>
          <w:rFonts w:hint="eastAsia" w:ascii="仿宋" w:hAnsi="仿宋" w:eastAsia="仿宋" w:cs="仿宋"/>
          <w:b/>
          <w:bCs w:val="0"/>
          <w:sz w:val="32"/>
          <w:szCs w:val="32"/>
        </w:rPr>
        <w:t>第一部分</w:t>
      </w:r>
      <w:r>
        <w:rPr>
          <w:rFonts w:hint="eastAsia" w:ascii="仿宋" w:hAnsi="仿宋" w:eastAsia="仿宋" w:cs="仿宋"/>
          <w:b/>
          <w:bCs w:val="0"/>
          <w:sz w:val="32"/>
          <w:szCs w:val="30"/>
        </w:rPr>
        <w:t xml:space="preserve">  </w:t>
      </w:r>
      <w:r>
        <w:rPr>
          <w:rFonts w:hint="eastAsia" w:ascii="仿宋" w:hAnsi="仿宋" w:eastAsia="仿宋" w:cs="仿宋"/>
          <w:b/>
          <w:bCs w:val="0"/>
          <w:sz w:val="32"/>
          <w:szCs w:val="32"/>
        </w:rPr>
        <w:t>西湖区</w:t>
      </w:r>
      <w:r>
        <w:rPr>
          <w:rFonts w:hint="eastAsia" w:ascii="仿宋" w:hAnsi="仿宋" w:eastAsia="仿宋" w:cs="仿宋"/>
          <w:b/>
          <w:bCs w:val="0"/>
          <w:sz w:val="32"/>
          <w:szCs w:val="32"/>
          <w:lang w:eastAsia="zh-CN"/>
        </w:rPr>
        <w:t>文化</w:t>
      </w:r>
      <w:r>
        <w:rPr>
          <w:rFonts w:hint="eastAsia" w:ascii="仿宋" w:hAnsi="仿宋" w:eastAsia="仿宋" w:cs="仿宋"/>
          <w:b/>
          <w:bCs w:val="0"/>
          <w:sz w:val="32"/>
          <w:szCs w:val="32"/>
        </w:rPr>
        <w:t>馆部门</w:t>
      </w:r>
      <w:r>
        <w:rPr>
          <w:rFonts w:hint="eastAsia" w:ascii="仿宋" w:hAnsi="仿宋" w:eastAsia="仿宋" w:cs="仿宋"/>
          <w:b/>
          <w:bCs w:val="0"/>
          <w:sz w:val="32"/>
          <w:szCs w:val="30"/>
        </w:rPr>
        <w:t>概况</w:t>
      </w:r>
    </w:p>
    <w:p>
      <w:pPr>
        <w:ind w:firstLine="630"/>
        <w:jc w:val="left"/>
        <w:rPr>
          <w:rFonts w:hint="eastAsia" w:ascii="仿宋" w:hAnsi="仿宋" w:eastAsia="仿宋" w:cs="仿宋"/>
          <w:b/>
          <w:bCs/>
          <w:sz w:val="32"/>
          <w:szCs w:val="30"/>
        </w:rPr>
      </w:pPr>
      <w:r>
        <w:rPr>
          <w:rFonts w:hint="eastAsia" w:ascii="仿宋" w:hAnsi="仿宋" w:eastAsia="仿宋" w:cs="仿宋"/>
          <w:b/>
          <w:bCs/>
          <w:sz w:val="32"/>
          <w:szCs w:val="30"/>
        </w:rPr>
        <w:t>一、部门主要职能</w:t>
      </w:r>
    </w:p>
    <w:p>
      <w:pPr>
        <w:ind w:left="216" w:leftChars="103" w:firstLine="960" w:firstLineChars="300"/>
        <w:rPr>
          <w:rFonts w:ascii="仿宋" w:hAnsi="仿宋" w:eastAsia="仿宋"/>
          <w:sz w:val="32"/>
          <w:szCs w:val="32"/>
        </w:rPr>
      </w:pPr>
      <w:r>
        <w:rPr>
          <w:rFonts w:hint="eastAsia" w:ascii="仿宋" w:hAnsi="仿宋" w:eastAsia="仿宋"/>
          <w:sz w:val="32"/>
          <w:szCs w:val="32"/>
        </w:rPr>
        <w:t>南昌市西湖区文化馆是开展群众文化活动，并给群众文娱活动提供场所的机构。其主要职责：</w:t>
      </w:r>
    </w:p>
    <w:p>
      <w:pPr>
        <w:ind w:left="298" w:leftChars="142"/>
        <w:rPr>
          <w:rFonts w:ascii="仿宋" w:hAnsi="仿宋" w:eastAsia="仿宋"/>
          <w:sz w:val="32"/>
          <w:szCs w:val="32"/>
        </w:rPr>
      </w:pPr>
      <w:r>
        <w:rPr>
          <w:rFonts w:hint="eastAsia" w:ascii="仿宋" w:hAnsi="仿宋" w:eastAsia="仿宋"/>
          <w:sz w:val="32"/>
          <w:szCs w:val="32"/>
        </w:rPr>
        <w:t xml:space="preserve">    （一）</w:t>
      </w:r>
      <w:r>
        <w:rPr>
          <w:rFonts w:ascii="仿宋" w:hAnsi="仿宋" w:eastAsia="仿宋"/>
          <w:sz w:val="32"/>
          <w:szCs w:val="32"/>
        </w:rPr>
        <w:t>举办各类展览、讲座、培训等，普及科学文化知识，开展社会教育，提高群众文化素质，促进当地精神文明建设。</w:t>
      </w:r>
    </w:p>
    <w:p>
      <w:pPr>
        <w:ind w:firstLine="320" w:firstLineChars="100"/>
        <w:rPr>
          <w:rFonts w:ascii="仿宋" w:hAnsi="仿宋" w:eastAsia="仿宋"/>
          <w:sz w:val="32"/>
          <w:szCs w:val="32"/>
        </w:rPr>
      </w:pPr>
      <w:r>
        <w:rPr>
          <w:rFonts w:hint="eastAsia" w:ascii="仿宋" w:hAnsi="仿宋" w:eastAsia="仿宋"/>
          <w:sz w:val="32"/>
          <w:szCs w:val="32"/>
        </w:rPr>
        <w:t xml:space="preserve">    （二）</w:t>
      </w:r>
      <w:r>
        <w:rPr>
          <w:rFonts w:ascii="仿宋" w:hAnsi="仿宋" w:eastAsia="仿宋"/>
          <w:sz w:val="32"/>
          <w:szCs w:val="32"/>
        </w:rPr>
        <w:t>组织开展丰富多彩的、群众喜闻乐见的文化活动;开展流动文化服务;指导群众业余文艺团队建设，辅导和培训群众文艺骨干。</w:t>
      </w:r>
    </w:p>
    <w:p>
      <w:pPr>
        <w:ind w:firstLine="320" w:firstLineChars="100"/>
        <w:rPr>
          <w:rFonts w:hint="eastAsia" w:ascii="仿宋" w:hAnsi="仿宋" w:eastAsia="仿宋"/>
          <w:sz w:val="32"/>
          <w:szCs w:val="32"/>
        </w:rPr>
      </w:pPr>
      <w:r>
        <w:rPr>
          <w:rFonts w:hint="eastAsia" w:ascii="仿宋" w:hAnsi="仿宋" w:eastAsia="仿宋"/>
          <w:sz w:val="32"/>
          <w:szCs w:val="32"/>
        </w:rPr>
        <w:t xml:space="preserve">    （三）</w:t>
      </w:r>
      <w:r>
        <w:rPr>
          <w:rFonts w:ascii="仿宋" w:hAnsi="仿宋" w:eastAsia="仿宋"/>
          <w:sz w:val="32"/>
          <w:szCs w:val="32"/>
        </w:rPr>
        <w:t>组织并指导群众文艺创作，开展群众文化工作理论研究。</w:t>
      </w:r>
    </w:p>
    <w:p>
      <w:pPr>
        <w:ind w:firstLine="320" w:firstLineChars="100"/>
        <w:rPr>
          <w:rFonts w:ascii="仿宋" w:hAnsi="仿宋" w:eastAsia="仿宋"/>
          <w:sz w:val="32"/>
          <w:szCs w:val="32"/>
        </w:rPr>
      </w:pPr>
      <w:r>
        <w:rPr>
          <w:rFonts w:hint="eastAsia" w:ascii="仿宋" w:hAnsi="仿宋" w:eastAsia="仿宋"/>
          <w:sz w:val="32"/>
          <w:szCs w:val="32"/>
        </w:rPr>
        <w:t xml:space="preserve">    （四）</w:t>
      </w:r>
      <w:r>
        <w:rPr>
          <w:rFonts w:ascii="仿宋" w:hAnsi="仿宋" w:eastAsia="仿宋"/>
          <w:sz w:val="32"/>
          <w:szCs w:val="32"/>
        </w:rPr>
        <w:t>收集、整理、研究非物质文化遗产，开展非物质文化遗产的普查、展示、宣传活动，指导传承人开展传习活动。</w:t>
      </w:r>
    </w:p>
    <w:p>
      <w:pPr>
        <w:ind w:firstLine="320" w:firstLineChars="100"/>
        <w:rPr>
          <w:rFonts w:ascii="仿宋" w:hAnsi="仿宋" w:eastAsia="仿宋"/>
          <w:sz w:val="32"/>
          <w:szCs w:val="32"/>
        </w:rPr>
      </w:pPr>
      <w:r>
        <w:rPr>
          <w:rFonts w:hint="eastAsia" w:ascii="仿宋" w:hAnsi="仿宋" w:eastAsia="仿宋"/>
          <w:sz w:val="32"/>
          <w:szCs w:val="32"/>
        </w:rPr>
        <w:t xml:space="preserve">    （五）</w:t>
      </w:r>
      <w:r>
        <w:rPr>
          <w:rFonts w:ascii="仿宋" w:hAnsi="仿宋" w:eastAsia="仿宋"/>
          <w:sz w:val="32"/>
          <w:szCs w:val="32"/>
        </w:rPr>
        <w:t>建成全国文化信息资源共享工程基层服务点，开展数字文化信息服务。</w:t>
      </w:r>
    </w:p>
    <w:p>
      <w:pPr>
        <w:ind w:firstLine="630"/>
        <w:jc w:val="left"/>
        <w:rPr>
          <w:rFonts w:hint="eastAsia" w:ascii="仿宋" w:hAnsi="仿宋" w:eastAsia="仿宋"/>
          <w:sz w:val="32"/>
          <w:szCs w:val="32"/>
        </w:rPr>
      </w:pPr>
      <w:r>
        <w:rPr>
          <w:rFonts w:hint="eastAsia" w:ascii="仿宋" w:hAnsi="仿宋" w:eastAsia="仿宋"/>
          <w:sz w:val="32"/>
          <w:szCs w:val="32"/>
        </w:rPr>
        <w:t xml:space="preserve">  （六）</w:t>
      </w:r>
      <w:r>
        <w:rPr>
          <w:rFonts w:ascii="仿宋" w:hAnsi="仿宋" w:eastAsia="仿宋"/>
          <w:sz w:val="32"/>
          <w:szCs w:val="32"/>
        </w:rPr>
        <w:t>指导下一级文化馆(文化站、社区文化中心)工作，为下一级文化馆(文化站、社区文化中心)培训人员，并向下一级文化馆(文化站、社区文化中心)配送文化资源和文化服务。</w:t>
      </w:r>
    </w:p>
    <w:p>
      <w:pPr>
        <w:jc w:val="left"/>
        <w:rPr>
          <w:rFonts w:hint="eastAsia" w:ascii="仿宋_GB2312" w:hAnsi="仿宋_GB2312" w:eastAsia="仿宋_GB2312"/>
          <w:sz w:val="32"/>
          <w:szCs w:val="30"/>
        </w:rPr>
      </w:pPr>
    </w:p>
    <w:p>
      <w:pPr>
        <w:pStyle w:val="2"/>
        <w:rPr>
          <w:rFonts w:hint="eastAsia" w:ascii="仿宋_GB2312" w:hAnsi="仿宋_GB2312" w:eastAsia="仿宋_GB2312"/>
          <w:sz w:val="32"/>
          <w:szCs w:val="30"/>
        </w:rPr>
      </w:pPr>
    </w:p>
    <w:p>
      <w:pPr>
        <w:pStyle w:val="2"/>
        <w:rPr>
          <w:rFonts w:hint="eastAsia" w:ascii="仿宋_GB2312" w:hAnsi="仿宋_GB2312" w:eastAsia="仿宋_GB2312"/>
          <w:sz w:val="32"/>
          <w:szCs w:val="30"/>
        </w:rPr>
      </w:pPr>
    </w:p>
    <w:p>
      <w:pPr>
        <w:ind w:firstLine="630"/>
        <w:jc w:val="left"/>
        <w:rPr>
          <w:rFonts w:hint="eastAsia" w:ascii="仿宋" w:hAnsi="仿宋" w:eastAsia="仿宋" w:cs="仿宋"/>
          <w:b/>
          <w:bCs/>
          <w:sz w:val="32"/>
          <w:szCs w:val="30"/>
        </w:rPr>
      </w:pPr>
      <w:r>
        <w:rPr>
          <w:rFonts w:hint="eastAsia" w:ascii="仿宋" w:hAnsi="仿宋" w:eastAsia="仿宋" w:cs="仿宋"/>
          <w:b/>
          <w:bCs/>
          <w:sz w:val="32"/>
          <w:szCs w:val="30"/>
        </w:rPr>
        <w:t>二、部门基本情况</w:t>
      </w:r>
    </w:p>
    <w:p>
      <w:pPr>
        <w:ind w:firstLine="640" w:firstLineChars="200"/>
        <w:jc w:val="left"/>
        <w:rPr>
          <w:rFonts w:hint="eastAsia" w:ascii="仿宋_GB2312" w:hAnsi="仿宋_GB2312" w:eastAsia="仿宋_GB2312"/>
          <w:sz w:val="32"/>
          <w:szCs w:val="30"/>
        </w:rPr>
      </w:pPr>
      <w:r>
        <w:rPr>
          <w:rFonts w:hint="eastAsia" w:ascii="仿宋_GB2312" w:hAnsi="仿宋_GB2312" w:eastAsia="仿宋_GB2312"/>
          <w:sz w:val="32"/>
          <w:szCs w:val="30"/>
        </w:rPr>
        <w:t>纳入本套部门决算汇编范围的单位共 1  个。</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本部门2020年年末实有人数 </w:t>
      </w:r>
      <w:r>
        <w:rPr>
          <w:rFonts w:hint="eastAsia" w:ascii="仿宋_GB2312" w:hAnsi="仿宋_GB2312" w:eastAsia="仿宋_GB2312"/>
          <w:sz w:val="32"/>
          <w:szCs w:val="30"/>
          <w:lang w:val="en-US" w:eastAsia="zh-CN"/>
        </w:rPr>
        <w:t>15</w:t>
      </w:r>
      <w:r>
        <w:rPr>
          <w:rFonts w:hint="eastAsia" w:ascii="仿宋_GB2312" w:hAnsi="仿宋_GB2312" w:eastAsia="仿宋_GB2312"/>
          <w:sz w:val="32"/>
          <w:szCs w:val="30"/>
        </w:rPr>
        <w:t xml:space="preserve">  人，其中在职人员</w:t>
      </w:r>
      <w:r>
        <w:rPr>
          <w:rFonts w:hint="eastAsia" w:ascii="仿宋_GB2312" w:hAnsi="仿宋_GB2312" w:eastAsia="仿宋_GB2312"/>
          <w:sz w:val="32"/>
          <w:szCs w:val="30"/>
          <w:lang w:val="en-US" w:eastAsia="zh-CN"/>
        </w:rPr>
        <w:t>15</w:t>
      </w:r>
      <w:r>
        <w:rPr>
          <w:rFonts w:hint="eastAsia" w:ascii="仿宋_GB2312" w:hAnsi="仿宋_GB2312" w:eastAsia="仿宋_GB2312"/>
          <w:sz w:val="32"/>
          <w:szCs w:val="30"/>
        </w:rPr>
        <w:t xml:space="preserve">人，离休人员 0 人，退休人员  </w:t>
      </w:r>
      <w:r>
        <w:rPr>
          <w:rFonts w:hint="eastAsia" w:ascii="仿宋_GB2312" w:hAnsi="仿宋_GB2312" w:eastAsia="仿宋_GB2312"/>
          <w:sz w:val="32"/>
          <w:szCs w:val="30"/>
          <w:lang w:val="en-US" w:eastAsia="zh-CN"/>
        </w:rPr>
        <w:t>1</w:t>
      </w:r>
      <w:r>
        <w:rPr>
          <w:rFonts w:hint="eastAsia" w:ascii="仿宋_GB2312" w:hAnsi="仿宋_GB2312" w:eastAsia="仿宋_GB2312"/>
          <w:sz w:val="32"/>
          <w:szCs w:val="30"/>
        </w:rPr>
        <w:t xml:space="preserve">6 人；年末其他人员 </w:t>
      </w:r>
      <w:r>
        <w:rPr>
          <w:rFonts w:hint="eastAsia" w:ascii="仿宋_GB2312" w:hAnsi="仿宋_GB2312" w:eastAsia="仿宋_GB2312"/>
          <w:sz w:val="32"/>
          <w:szCs w:val="30"/>
          <w:lang w:val="en-US" w:eastAsia="zh-CN"/>
        </w:rPr>
        <w:t>4</w:t>
      </w:r>
      <w:r>
        <w:rPr>
          <w:rFonts w:hint="eastAsia" w:ascii="仿宋_GB2312" w:hAnsi="仿宋_GB2312" w:eastAsia="仿宋_GB2312"/>
          <w:sz w:val="32"/>
          <w:szCs w:val="30"/>
        </w:rPr>
        <w:t xml:space="preserve"> 人。</w:t>
      </w:r>
    </w:p>
    <w:p>
      <w:pPr>
        <w:pStyle w:val="2"/>
        <w:rPr>
          <w:rFonts w:hint="eastAsia"/>
        </w:rPr>
      </w:pPr>
    </w:p>
    <w:p>
      <w:pPr>
        <w:spacing w:beforeLines="100" w:afterLines="100"/>
        <w:jc w:val="center"/>
        <w:rPr>
          <w:rFonts w:hint="eastAsia" w:ascii="黑体" w:hAnsi="黑体" w:eastAsia="黑体"/>
          <w:bCs/>
          <w:sz w:val="32"/>
          <w:szCs w:val="32"/>
        </w:rPr>
      </w:pPr>
      <w:r>
        <w:rPr>
          <w:rFonts w:hint="eastAsia" w:ascii="黑体" w:hAnsi="黑体" w:eastAsia="黑体"/>
          <w:bCs/>
          <w:sz w:val="32"/>
          <w:szCs w:val="32"/>
        </w:rPr>
        <w:t>第二部分  2020年度部门决算表</w:t>
      </w:r>
    </w:p>
    <w:p>
      <w:pPr>
        <w:autoSpaceDE w:val="0"/>
        <w:autoSpaceDN w:val="0"/>
        <w:adjustRightInd w:val="0"/>
        <w:spacing w:line="360" w:lineRule="auto"/>
        <w:jc w:val="left"/>
        <w:rPr>
          <w:rFonts w:hint="eastAsia"/>
          <w:szCs w:val="30"/>
        </w:rPr>
      </w:pPr>
      <w:r>
        <w:drawing>
          <wp:inline distT="0" distB="0" distL="114300" distR="114300">
            <wp:extent cx="6035675" cy="5504180"/>
            <wp:effectExtent l="0" t="0" r="3175" b="1270"/>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pic:cNvPicPr>
                      <a:picLocks noChangeAspect="1"/>
                    </pic:cNvPicPr>
                  </pic:nvPicPr>
                  <pic:blipFill>
                    <a:blip r:embed="rId5"/>
                    <a:stretch>
                      <a:fillRect/>
                    </a:stretch>
                  </pic:blipFill>
                  <pic:spPr>
                    <a:xfrm>
                      <a:off x="0" y="0"/>
                      <a:ext cx="6035675" cy="550418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r>
        <w:drawing>
          <wp:inline distT="0" distB="0" distL="114300" distR="114300">
            <wp:extent cx="6020435" cy="3933825"/>
            <wp:effectExtent l="0" t="0" r="18415" b="9525"/>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6"/>
                    <a:stretch>
                      <a:fillRect/>
                    </a:stretch>
                  </pic:blipFill>
                  <pic:spPr>
                    <a:xfrm>
                      <a:off x="0" y="0"/>
                      <a:ext cx="6020435" cy="3933825"/>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6022340" cy="4244340"/>
            <wp:effectExtent l="0" t="0" r="16510" b="3810"/>
            <wp:docPr id="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pic:cNvPicPr>
                      <a:picLocks noChangeAspect="1"/>
                    </pic:cNvPicPr>
                  </pic:nvPicPr>
                  <pic:blipFill>
                    <a:blip r:embed="rId7"/>
                    <a:stretch>
                      <a:fillRect/>
                    </a:stretch>
                  </pic:blipFill>
                  <pic:spPr>
                    <a:xfrm>
                      <a:off x="0" y="0"/>
                      <a:ext cx="6022340" cy="424434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756275" cy="4319905"/>
            <wp:effectExtent l="0" t="0" r="15875" b="4445"/>
            <wp:docPr id="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pic:cNvPicPr>
                      <a:picLocks noChangeAspect="1"/>
                    </pic:cNvPicPr>
                  </pic:nvPicPr>
                  <pic:blipFill>
                    <a:blip r:embed="rId8"/>
                    <a:stretch>
                      <a:fillRect/>
                    </a:stretch>
                  </pic:blipFill>
                  <pic:spPr>
                    <a:xfrm>
                      <a:off x="0" y="0"/>
                      <a:ext cx="5756275" cy="431990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5756910" cy="3487420"/>
            <wp:effectExtent l="0" t="0" r="15240" b="17780"/>
            <wp:docPr id="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pic:cNvPicPr>
                      <a:picLocks noChangeAspect="1"/>
                    </pic:cNvPicPr>
                  </pic:nvPicPr>
                  <pic:blipFill>
                    <a:blip r:embed="rId9"/>
                    <a:stretch>
                      <a:fillRect/>
                    </a:stretch>
                  </pic:blipFill>
                  <pic:spPr>
                    <a:xfrm>
                      <a:off x="0" y="0"/>
                      <a:ext cx="5756910" cy="348742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lang w:eastAsia="zh-CN"/>
        </w:rPr>
      </w:pPr>
      <w:r>
        <w:rPr>
          <w:rFonts w:hint="eastAsia" w:ascii="仿宋" w:hAnsi="仿宋" w:eastAsia="仿宋" w:cs="仿宋_GB2312"/>
          <w:kern w:val="0"/>
          <w:sz w:val="30"/>
          <w:szCs w:val="30"/>
          <w:lang w:eastAsia="zh-CN"/>
        </w:rPr>
        <w:drawing>
          <wp:inline distT="0" distB="0" distL="114300" distR="114300">
            <wp:extent cx="5758180" cy="8369935"/>
            <wp:effectExtent l="0" t="0" r="13970" b="12065"/>
            <wp:docPr id="6" name="图片 6" descr="UPF{U2YGJW2_7N(_TB857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UPF{U2YGJW2_7N(_TB857S9"/>
                    <pic:cNvPicPr>
                      <a:picLocks noChangeAspect="1"/>
                    </pic:cNvPicPr>
                  </pic:nvPicPr>
                  <pic:blipFill>
                    <a:blip r:embed="rId10"/>
                    <a:stretch>
                      <a:fillRect/>
                    </a:stretch>
                  </pic:blipFill>
                  <pic:spPr>
                    <a:xfrm>
                      <a:off x="0" y="0"/>
                      <a:ext cx="5758180" cy="8369935"/>
                    </a:xfrm>
                    <a:prstGeom prst="rect">
                      <a:avLst/>
                    </a:prstGeom>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476875" cy="4410075"/>
            <wp:effectExtent l="0" t="0" r="9525" b="952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1"/>
                    <a:stretch>
                      <a:fillRect/>
                    </a:stretch>
                  </pic:blipFill>
                  <pic:spPr>
                    <a:xfrm>
                      <a:off x="0" y="0"/>
                      <a:ext cx="5476875" cy="441007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753100" cy="3518535"/>
            <wp:effectExtent l="0" t="0" r="0" b="5715"/>
            <wp:docPr id="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pic:cNvPicPr>
                      <a:picLocks noChangeAspect="1"/>
                    </pic:cNvPicPr>
                  </pic:nvPicPr>
                  <pic:blipFill>
                    <a:blip r:embed="rId12"/>
                    <a:stretch>
                      <a:fillRect/>
                    </a:stretch>
                  </pic:blipFill>
                  <pic:spPr>
                    <a:xfrm>
                      <a:off x="0" y="0"/>
                      <a:ext cx="5753100" cy="3518535"/>
                    </a:xfrm>
                    <a:prstGeom prst="rect">
                      <a:avLst/>
                    </a:prstGeom>
                    <a:noFill/>
                    <a:ln>
                      <a:noFill/>
                    </a:ln>
                  </pic:spPr>
                </pic:pic>
              </a:graphicData>
            </a:graphic>
          </wp:inline>
        </w:drawing>
      </w:r>
      <w:bookmarkStart w:id="0" w:name="_GoBack"/>
      <w:bookmarkEnd w:id="0"/>
    </w:p>
    <w:p>
      <w:pPr>
        <w:autoSpaceDE w:val="0"/>
        <w:autoSpaceDN w:val="0"/>
        <w:adjustRightInd w:val="0"/>
        <w:spacing w:line="360" w:lineRule="auto"/>
        <w:jc w:val="left"/>
      </w:pPr>
    </w:p>
    <w:p>
      <w:pPr>
        <w:spacing w:beforeLines="100" w:afterLines="100"/>
        <w:rPr>
          <w:rFonts w:hint="eastAsia" w:ascii="黑体" w:hAnsi="黑体" w:eastAsia="黑体"/>
          <w:bCs/>
          <w:sz w:val="32"/>
          <w:szCs w:val="32"/>
        </w:rPr>
      </w:pPr>
      <w:r>
        <w:drawing>
          <wp:inline distT="0" distB="0" distL="114300" distR="114300">
            <wp:extent cx="5814060" cy="3213735"/>
            <wp:effectExtent l="0" t="0" r="15240" b="5715"/>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pic:cNvPicPr>
                      <a:picLocks noChangeAspect="1"/>
                    </pic:cNvPicPr>
                  </pic:nvPicPr>
                  <pic:blipFill>
                    <a:blip r:embed="rId13"/>
                    <a:stretch>
                      <a:fillRect/>
                    </a:stretch>
                  </pic:blipFill>
                  <pic:spPr>
                    <a:xfrm>
                      <a:off x="0" y="0"/>
                      <a:ext cx="5814060" cy="3213735"/>
                    </a:xfrm>
                    <a:prstGeom prst="rect">
                      <a:avLst/>
                    </a:prstGeom>
                    <a:noFill/>
                    <a:ln>
                      <a:noFill/>
                    </a:ln>
                  </pic:spPr>
                </pic:pic>
              </a:graphicData>
            </a:graphic>
          </wp:inline>
        </w:drawing>
      </w:r>
    </w:p>
    <w:p>
      <w:pPr>
        <w:pStyle w:val="2"/>
        <w:rPr>
          <w:rFonts w:hint="eastAsia"/>
        </w:rPr>
      </w:pPr>
    </w:p>
    <w:p>
      <w:pPr>
        <w:spacing w:beforeLines="100" w:afterLines="100"/>
      </w:pPr>
      <w:r>
        <w:drawing>
          <wp:inline distT="0" distB="0" distL="114300" distR="114300">
            <wp:extent cx="5638800" cy="3514725"/>
            <wp:effectExtent l="0" t="0" r="0" b="952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4"/>
                    <a:stretch>
                      <a:fillRect/>
                    </a:stretch>
                  </pic:blipFill>
                  <pic:spPr>
                    <a:xfrm>
                      <a:off x="0" y="0"/>
                      <a:ext cx="5638800" cy="3514725"/>
                    </a:xfrm>
                    <a:prstGeom prst="rect">
                      <a:avLst/>
                    </a:prstGeom>
                    <a:noFill/>
                    <a:ln>
                      <a:noFill/>
                    </a:ln>
                  </pic:spPr>
                </pic:pic>
              </a:graphicData>
            </a:graphic>
          </wp:inline>
        </w:drawing>
      </w:r>
    </w:p>
    <w:p>
      <w:pPr>
        <w:pStyle w:val="2"/>
        <w:rPr>
          <w:rFonts w:hint="eastAsia"/>
        </w:rPr>
      </w:pPr>
    </w:p>
    <w:p>
      <w:pPr>
        <w:spacing w:beforeLines="100" w:afterLines="100" w:line="240" w:lineRule="auto"/>
        <w:rPr>
          <w:rFonts w:hint="eastAsia" w:ascii="黑体" w:hAnsi="黑体" w:eastAsia="黑体"/>
          <w:bCs/>
          <w:sz w:val="32"/>
          <w:szCs w:val="32"/>
        </w:rPr>
      </w:pPr>
      <w:r>
        <w:rPr>
          <w:rFonts w:hint="eastAsia" w:ascii="黑体" w:hAnsi="黑体" w:eastAsia="黑体"/>
          <w:bCs/>
          <w:sz w:val="32"/>
          <w:szCs w:val="32"/>
        </w:rPr>
        <w:t>第三部分  2020年度部门决算情况说明</w:t>
      </w:r>
    </w:p>
    <w:p>
      <w:pPr>
        <w:spacing w:line="240" w:lineRule="auto"/>
        <w:ind w:firstLine="630"/>
        <w:jc w:val="left"/>
        <w:rPr>
          <w:rFonts w:hint="eastAsia" w:ascii="黑体" w:hAnsi="黑体" w:eastAsia="黑体"/>
          <w:sz w:val="32"/>
          <w:szCs w:val="30"/>
        </w:rPr>
      </w:pPr>
      <w:r>
        <w:rPr>
          <w:rFonts w:hint="eastAsia" w:ascii="黑体" w:hAnsi="黑体" w:eastAsia="黑体"/>
          <w:sz w:val="32"/>
          <w:szCs w:val="30"/>
        </w:rPr>
        <w:t>一、收入决算情况说明</w:t>
      </w:r>
    </w:p>
    <w:p>
      <w:pPr>
        <w:ind w:firstLine="630"/>
        <w:jc w:val="left"/>
        <w:rPr>
          <w:rFonts w:hint="eastAsia" w:ascii="仿宋_GB2312" w:hAnsi="仿宋_GB2312" w:eastAsia="仿宋_GB2312" w:cs="Times New Roman"/>
          <w:sz w:val="32"/>
          <w:szCs w:val="30"/>
        </w:rPr>
      </w:pPr>
      <w:r>
        <w:rPr>
          <w:rFonts w:hint="eastAsia" w:ascii="仿宋_GB2312" w:hAnsi="仿宋_GB2312" w:eastAsia="仿宋_GB2312"/>
          <w:sz w:val="32"/>
          <w:szCs w:val="30"/>
        </w:rPr>
        <w:t xml:space="preserve">本部门2020年度收入总计 </w:t>
      </w:r>
      <w:r>
        <w:rPr>
          <w:rFonts w:hint="eastAsia" w:ascii="仿宋_GB2312" w:hAnsi="仿宋_GB2312" w:eastAsia="仿宋_GB2312"/>
          <w:sz w:val="32"/>
          <w:szCs w:val="30"/>
          <w:lang w:val="en-US" w:eastAsia="zh-CN"/>
        </w:rPr>
        <w:t>396.82</w:t>
      </w:r>
      <w:r>
        <w:rPr>
          <w:rFonts w:hint="eastAsia" w:ascii="仿宋_GB2312" w:hAnsi="仿宋_GB2312" w:eastAsia="仿宋_GB2312"/>
          <w:sz w:val="32"/>
          <w:szCs w:val="30"/>
        </w:rPr>
        <w:t xml:space="preserve"> 万元，其中年初结转和结余</w:t>
      </w:r>
      <w:r>
        <w:rPr>
          <w:rFonts w:hint="eastAsia" w:ascii="仿宋_GB2312" w:hAnsi="仿宋_GB2312" w:eastAsia="仿宋_GB2312"/>
          <w:sz w:val="32"/>
          <w:szCs w:val="30"/>
          <w:lang w:val="en-US" w:eastAsia="zh-CN"/>
        </w:rPr>
        <w:t>39.27</w:t>
      </w:r>
      <w:r>
        <w:rPr>
          <w:rFonts w:hint="eastAsia" w:ascii="仿宋_GB2312" w:hAnsi="仿宋_GB2312" w:eastAsia="仿宋_GB2312" w:cs="Times New Roman"/>
          <w:sz w:val="32"/>
          <w:szCs w:val="30"/>
        </w:rPr>
        <w:t xml:space="preserve">万元，较2019年减少 </w:t>
      </w:r>
      <w:r>
        <w:rPr>
          <w:rFonts w:hint="eastAsia" w:ascii="仿宋_GB2312" w:hAnsi="仿宋_GB2312" w:eastAsia="仿宋_GB2312" w:cs="Times New Roman"/>
          <w:sz w:val="32"/>
          <w:szCs w:val="30"/>
          <w:lang w:val="en-US" w:eastAsia="zh-CN"/>
        </w:rPr>
        <w:t>121.32</w:t>
      </w:r>
      <w:r>
        <w:rPr>
          <w:rFonts w:hint="eastAsia" w:ascii="仿宋_GB2312" w:hAnsi="仿宋_GB2312" w:eastAsia="仿宋_GB2312" w:cs="Times New Roman"/>
          <w:sz w:val="32"/>
          <w:szCs w:val="30"/>
        </w:rPr>
        <w:t xml:space="preserve"> 万元，下降</w:t>
      </w:r>
      <w:r>
        <w:rPr>
          <w:rFonts w:hint="eastAsia" w:ascii="仿宋_GB2312" w:hAnsi="仿宋_GB2312" w:eastAsia="仿宋_GB2312" w:cs="Times New Roman"/>
          <w:sz w:val="32"/>
          <w:szCs w:val="30"/>
          <w:lang w:val="en-US" w:eastAsia="zh-CN"/>
        </w:rPr>
        <w:t>30.57</w:t>
      </w:r>
      <w:r>
        <w:rPr>
          <w:rFonts w:hint="eastAsia" w:ascii="仿宋_GB2312" w:hAnsi="仿宋_GB2312" w:eastAsia="仿宋_GB2312" w:cs="Times New Roman"/>
          <w:sz w:val="32"/>
          <w:szCs w:val="30"/>
        </w:rPr>
        <w:t xml:space="preserve">  %；本年收入合计 </w:t>
      </w:r>
      <w:r>
        <w:rPr>
          <w:rFonts w:hint="eastAsia" w:ascii="仿宋_GB2312" w:hAnsi="仿宋_GB2312" w:eastAsia="仿宋_GB2312" w:cs="Times New Roman"/>
          <w:sz w:val="32"/>
          <w:szCs w:val="30"/>
          <w:lang w:val="en-US" w:eastAsia="zh-CN"/>
        </w:rPr>
        <w:t>357.56</w:t>
      </w:r>
      <w:r>
        <w:rPr>
          <w:rFonts w:hint="eastAsia" w:ascii="仿宋_GB2312" w:hAnsi="仿宋_GB2312" w:eastAsia="仿宋_GB2312" w:cs="Times New Roman"/>
          <w:sz w:val="32"/>
          <w:szCs w:val="30"/>
        </w:rPr>
        <w:t xml:space="preserve"> 万元，较2019年减少</w:t>
      </w:r>
      <w:r>
        <w:rPr>
          <w:rFonts w:hint="eastAsia" w:ascii="仿宋_GB2312" w:hAnsi="仿宋_GB2312" w:eastAsia="仿宋_GB2312" w:cs="Times New Roman"/>
          <w:sz w:val="32"/>
          <w:szCs w:val="30"/>
          <w:lang w:val="en-US" w:eastAsia="zh-CN"/>
        </w:rPr>
        <w:t>37.95</w:t>
      </w:r>
      <w:r>
        <w:rPr>
          <w:rFonts w:hint="eastAsia" w:ascii="仿宋_GB2312" w:hAnsi="仿宋_GB2312" w:eastAsia="仿宋_GB2312" w:cs="Times New Roman"/>
          <w:sz w:val="32"/>
          <w:szCs w:val="30"/>
        </w:rPr>
        <w:t xml:space="preserve">  万元，下降</w:t>
      </w:r>
      <w:r>
        <w:rPr>
          <w:rFonts w:hint="eastAsia" w:ascii="仿宋_GB2312" w:hAnsi="仿宋_GB2312" w:eastAsia="仿宋_GB2312" w:cs="Times New Roman"/>
          <w:sz w:val="32"/>
          <w:szCs w:val="30"/>
          <w:lang w:val="en-US" w:eastAsia="zh-CN"/>
        </w:rPr>
        <w:t>10.61</w:t>
      </w:r>
      <w:r>
        <w:rPr>
          <w:rFonts w:hint="eastAsia" w:ascii="仿宋_GB2312" w:hAnsi="仿宋_GB2312" w:eastAsia="仿宋_GB2312" w:cs="Times New Roman"/>
          <w:sz w:val="32"/>
          <w:szCs w:val="30"/>
        </w:rPr>
        <w:t xml:space="preserve"> %，主要原因是：2020年度疫情</w:t>
      </w:r>
      <w:r>
        <w:rPr>
          <w:rFonts w:hint="eastAsia" w:ascii="仿宋_GB2312" w:hAnsi="仿宋_GB2312" w:eastAsia="仿宋_GB2312" w:cs="Times New Roman"/>
          <w:sz w:val="32"/>
          <w:szCs w:val="30"/>
          <w:lang w:eastAsia="zh-CN"/>
        </w:rPr>
        <w:t>影响文化活动减少</w:t>
      </w:r>
      <w:r>
        <w:rPr>
          <w:rFonts w:hint="eastAsia" w:ascii="仿宋_GB2312" w:hAnsi="仿宋_GB2312" w:eastAsia="仿宋_GB2312" w:cs="Times New Roman"/>
          <w:sz w:val="32"/>
          <w:szCs w:val="30"/>
        </w:rPr>
        <w:t>。</w:t>
      </w:r>
    </w:p>
    <w:p>
      <w:pPr>
        <w:ind w:firstLine="630"/>
        <w:jc w:val="left"/>
        <w:rPr>
          <w:rFonts w:hint="eastAsia" w:ascii="仿宋_GB2312" w:hAnsi="仿宋_GB2312" w:eastAsia="仿宋_GB2312" w:cs="Times New Roman"/>
          <w:sz w:val="32"/>
          <w:szCs w:val="30"/>
        </w:rPr>
      </w:pPr>
      <w:r>
        <w:rPr>
          <w:rFonts w:hint="eastAsia" w:ascii="仿宋_GB2312" w:hAnsi="仿宋_GB2312" w:eastAsia="仿宋_GB2312" w:cs="Times New Roman"/>
          <w:sz w:val="32"/>
          <w:szCs w:val="30"/>
        </w:rPr>
        <w:t>本年收入的具体构成为：财政拨款收入</w:t>
      </w:r>
      <w:r>
        <w:rPr>
          <w:rFonts w:hint="eastAsia" w:ascii="仿宋_GB2312" w:hAnsi="仿宋_GB2312" w:eastAsia="仿宋_GB2312" w:cs="Times New Roman"/>
          <w:sz w:val="32"/>
          <w:szCs w:val="30"/>
          <w:lang w:val="en-US" w:eastAsia="zh-CN"/>
        </w:rPr>
        <w:t>350.78</w:t>
      </w:r>
      <w:r>
        <w:rPr>
          <w:rFonts w:hint="eastAsia" w:ascii="仿宋_GB2312" w:hAnsi="仿宋_GB2312" w:eastAsia="仿宋_GB2312" w:cs="Times New Roman"/>
          <w:sz w:val="32"/>
          <w:szCs w:val="30"/>
        </w:rPr>
        <w:t xml:space="preserve">万元，占 98 </w:t>
      </w:r>
      <w:r>
        <w:rPr>
          <w:rFonts w:hint="eastAsia" w:ascii="仿宋_GB2312" w:hAnsi="仿宋_GB2312" w:eastAsia="仿宋_GB2312" w:cs="Times New Roman"/>
          <w:sz w:val="32"/>
          <w:szCs w:val="30"/>
          <w:lang w:val="en-US" w:eastAsia="zh-CN"/>
        </w:rPr>
        <w:t>.10</w:t>
      </w:r>
      <w:r>
        <w:rPr>
          <w:rFonts w:hint="eastAsia" w:ascii="仿宋_GB2312" w:hAnsi="仿宋_GB2312" w:eastAsia="仿宋_GB2312" w:cs="Times New Roman"/>
          <w:sz w:val="32"/>
          <w:szCs w:val="30"/>
        </w:rPr>
        <w:t xml:space="preserve">%；其他收入 </w:t>
      </w:r>
      <w:r>
        <w:rPr>
          <w:rFonts w:hint="eastAsia" w:ascii="仿宋_GB2312" w:hAnsi="仿宋_GB2312" w:eastAsia="仿宋_GB2312" w:cs="Times New Roman"/>
          <w:sz w:val="32"/>
          <w:szCs w:val="30"/>
          <w:lang w:val="en-US" w:eastAsia="zh-CN"/>
        </w:rPr>
        <w:t>6.77</w:t>
      </w:r>
      <w:r>
        <w:rPr>
          <w:rFonts w:hint="eastAsia" w:ascii="仿宋_GB2312" w:hAnsi="仿宋_GB2312" w:eastAsia="仿宋_GB2312" w:cs="Times New Roman"/>
          <w:sz w:val="32"/>
          <w:szCs w:val="30"/>
        </w:rPr>
        <w:t>万元，占</w:t>
      </w:r>
      <w:r>
        <w:rPr>
          <w:rFonts w:hint="eastAsia" w:ascii="仿宋_GB2312" w:hAnsi="仿宋_GB2312" w:eastAsia="仿宋_GB2312" w:cs="Times New Roman"/>
          <w:sz w:val="32"/>
          <w:szCs w:val="30"/>
          <w:lang w:val="en-US" w:eastAsia="zh-CN"/>
        </w:rPr>
        <w:t>1.9</w:t>
      </w:r>
      <w:r>
        <w:rPr>
          <w:rFonts w:hint="eastAsia" w:ascii="仿宋_GB2312" w:hAnsi="仿宋_GB2312" w:eastAsia="仿宋_GB2312" w:cs="Times New Roman"/>
          <w:sz w:val="32"/>
          <w:szCs w:val="30"/>
        </w:rPr>
        <w:t xml:space="preserve"> %。  </w:t>
      </w:r>
    </w:p>
    <w:p>
      <w:pPr>
        <w:ind w:firstLine="630"/>
        <w:jc w:val="left"/>
        <w:rPr>
          <w:rFonts w:hint="eastAsia" w:ascii="黑体" w:hAnsi="黑体" w:eastAsia="黑体"/>
          <w:sz w:val="32"/>
          <w:szCs w:val="30"/>
        </w:rPr>
      </w:pPr>
      <w:r>
        <w:rPr>
          <w:rFonts w:hint="eastAsia" w:ascii="黑体" w:hAnsi="黑体" w:eastAsia="黑体"/>
          <w:sz w:val="32"/>
          <w:szCs w:val="30"/>
        </w:rPr>
        <w:t>二、支出决算情况说明</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本部门2020年度支出总计 </w:t>
      </w:r>
      <w:r>
        <w:rPr>
          <w:rFonts w:hint="eastAsia" w:ascii="仿宋_GB2312" w:hAnsi="仿宋_GB2312" w:eastAsia="仿宋_GB2312"/>
          <w:sz w:val="32"/>
          <w:szCs w:val="30"/>
          <w:lang w:val="en-US" w:eastAsia="zh-CN"/>
        </w:rPr>
        <w:t>392.89</w:t>
      </w:r>
      <w:r>
        <w:rPr>
          <w:rFonts w:hint="eastAsia" w:ascii="仿宋_GB2312" w:hAnsi="仿宋_GB2312" w:eastAsia="仿宋_GB2312"/>
          <w:sz w:val="32"/>
          <w:szCs w:val="30"/>
        </w:rPr>
        <w:t xml:space="preserve">万元，其中本年支出合计 </w:t>
      </w:r>
      <w:r>
        <w:rPr>
          <w:rFonts w:hint="eastAsia" w:ascii="仿宋_GB2312" w:hAnsi="仿宋_GB2312" w:eastAsia="仿宋_GB2312"/>
          <w:sz w:val="32"/>
          <w:szCs w:val="30"/>
          <w:lang w:val="en-US" w:eastAsia="zh-CN"/>
        </w:rPr>
        <w:t>392.89</w:t>
      </w:r>
      <w:r>
        <w:rPr>
          <w:rFonts w:hint="eastAsia" w:ascii="仿宋_GB2312" w:hAnsi="仿宋_GB2312" w:eastAsia="仿宋_GB2312"/>
          <w:sz w:val="32"/>
          <w:szCs w:val="30"/>
        </w:rPr>
        <w:t>万元，较2019年减少</w:t>
      </w:r>
      <w:r>
        <w:rPr>
          <w:rFonts w:hint="eastAsia" w:ascii="仿宋_GB2312" w:hAnsi="仿宋_GB2312" w:eastAsia="仿宋_GB2312"/>
          <w:sz w:val="32"/>
          <w:szCs w:val="30"/>
          <w:lang w:val="en-US" w:eastAsia="zh-CN"/>
        </w:rPr>
        <w:t>77.03</w:t>
      </w:r>
      <w:r>
        <w:rPr>
          <w:rFonts w:hint="eastAsia" w:ascii="仿宋_GB2312" w:hAnsi="仿宋_GB2312" w:eastAsia="仿宋_GB2312"/>
          <w:sz w:val="32"/>
          <w:szCs w:val="30"/>
        </w:rPr>
        <w:t xml:space="preserve"> 万元，下降 </w:t>
      </w:r>
      <w:r>
        <w:rPr>
          <w:rFonts w:hint="eastAsia" w:ascii="仿宋_GB2312" w:hAnsi="仿宋_GB2312" w:eastAsia="仿宋_GB2312"/>
          <w:sz w:val="32"/>
          <w:szCs w:val="30"/>
          <w:lang w:val="en-US" w:eastAsia="zh-CN"/>
        </w:rPr>
        <w:t>19.61</w:t>
      </w:r>
      <w:r>
        <w:rPr>
          <w:rFonts w:hint="eastAsia" w:ascii="仿宋_GB2312" w:hAnsi="仿宋_GB2312" w:eastAsia="仿宋_GB2312"/>
          <w:sz w:val="32"/>
          <w:szCs w:val="30"/>
        </w:rPr>
        <w:t>%，主要原因是：</w:t>
      </w:r>
      <w:r>
        <w:rPr>
          <w:rFonts w:hint="eastAsia" w:ascii="仿宋_GB2312" w:hAnsi="仿宋_GB2312" w:eastAsia="仿宋_GB2312" w:cs="Times New Roman"/>
          <w:sz w:val="32"/>
          <w:szCs w:val="30"/>
        </w:rPr>
        <w:t>2020年度疫情</w:t>
      </w:r>
      <w:r>
        <w:rPr>
          <w:rFonts w:hint="eastAsia" w:ascii="仿宋_GB2312" w:hAnsi="仿宋_GB2312" w:eastAsia="仿宋_GB2312" w:cs="Times New Roman"/>
          <w:sz w:val="32"/>
          <w:szCs w:val="30"/>
          <w:lang w:eastAsia="zh-CN"/>
        </w:rPr>
        <w:t>影响文化活动减少</w:t>
      </w:r>
      <w:r>
        <w:rPr>
          <w:rFonts w:hint="eastAsia" w:ascii="仿宋_GB2312" w:hAnsi="仿宋_GB2312" w:eastAsia="仿宋_GB2312"/>
          <w:sz w:val="32"/>
          <w:szCs w:val="30"/>
        </w:rPr>
        <w:t>,项目支出减少。年末结转和结余3.</w:t>
      </w:r>
      <w:r>
        <w:rPr>
          <w:rFonts w:hint="eastAsia" w:ascii="仿宋_GB2312" w:hAnsi="仿宋_GB2312" w:eastAsia="仿宋_GB2312"/>
          <w:sz w:val="32"/>
          <w:szCs w:val="30"/>
          <w:lang w:val="en-US" w:eastAsia="zh-CN"/>
        </w:rPr>
        <w:t>94</w:t>
      </w:r>
      <w:r>
        <w:rPr>
          <w:rFonts w:hint="eastAsia" w:ascii="仿宋_GB2312" w:hAnsi="仿宋_GB2312" w:eastAsia="仿宋_GB2312"/>
          <w:sz w:val="32"/>
          <w:szCs w:val="30"/>
        </w:rPr>
        <w:t>万元，较2019年减少</w:t>
      </w:r>
      <w:r>
        <w:rPr>
          <w:rFonts w:hint="eastAsia" w:ascii="仿宋_GB2312" w:hAnsi="仿宋_GB2312" w:eastAsia="仿宋_GB2312"/>
          <w:sz w:val="32"/>
          <w:szCs w:val="30"/>
          <w:lang w:val="en-US" w:eastAsia="zh-CN"/>
        </w:rPr>
        <w:t>44.28</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1123.86</w:t>
      </w:r>
      <w:r>
        <w:rPr>
          <w:rFonts w:hint="eastAsia" w:ascii="仿宋_GB2312" w:hAnsi="仿宋_GB2312" w:eastAsia="仿宋_GB2312"/>
          <w:sz w:val="32"/>
          <w:szCs w:val="30"/>
        </w:rPr>
        <w:t xml:space="preserve"> %，主要原因是：2020年度费用支出与财政预算拨款基本一致。</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本年支出的具体构成为：基本支出 </w:t>
      </w:r>
      <w:r>
        <w:rPr>
          <w:rFonts w:hint="eastAsia" w:ascii="仿宋_GB2312" w:hAnsi="仿宋_GB2312" w:eastAsia="仿宋_GB2312"/>
          <w:sz w:val="32"/>
          <w:szCs w:val="30"/>
          <w:lang w:val="en-US" w:eastAsia="zh-CN"/>
        </w:rPr>
        <w:t>326.28</w:t>
      </w:r>
      <w:r>
        <w:rPr>
          <w:rFonts w:hint="eastAsia" w:ascii="仿宋_GB2312" w:hAnsi="仿宋_GB2312" w:eastAsia="仿宋_GB2312"/>
          <w:sz w:val="32"/>
          <w:szCs w:val="30"/>
        </w:rPr>
        <w:t xml:space="preserve"> 万元，占 </w:t>
      </w:r>
      <w:r>
        <w:rPr>
          <w:rFonts w:hint="eastAsia" w:ascii="仿宋_GB2312" w:hAnsi="仿宋_GB2312" w:eastAsia="仿宋_GB2312"/>
          <w:sz w:val="32"/>
          <w:szCs w:val="30"/>
          <w:lang w:val="en-US" w:eastAsia="zh-CN"/>
        </w:rPr>
        <w:t>83.05</w:t>
      </w:r>
      <w:r>
        <w:rPr>
          <w:rFonts w:hint="eastAsia" w:ascii="仿宋_GB2312" w:hAnsi="仿宋_GB2312" w:eastAsia="仿宋_GB2312"/>
          <w:sz w:val="32"/>
          <w:szCs w:val="30"/>
        </w:rPr>
        <w:t xml:space="preserve"> %；项目支出</w:t>
      </w:r>
      <w:r>
        <w:rPr>
          <w:rFonts w:hint="eastAsia" w:ascii="仿宋_GB2312" w:hAnsi="仿宋_GB2312" w:eastAsia="仿宋_GB2312"/>
          <w:sz w:val="32"/>
          <w:szCs w:val="30"/>
          <w:lang w:val="en-US" w:eastAsia="zh-CN"/>
        </w:rPr>
        <w:t>66.60</w:t>
      </w:r>
      <w:r>
        <w:rPr>
          <w:rFonts w:hint="eastAsia" w:ascii="仿宋_GB2312" w:hAnsi="仿宋_GB2312" w:eastAsia="仿宋_GB2312"/>
          <w:sz w:val="32"/>
          <w:szCs w:val="30"/>
        </w:rPr>
        <w:t>万元，占</w:t>
      </w:r>
      <w:r>
        <w:rPr>
          <w:rFonts w:hint="eastAsia" w:ascii="仿宋_GB2312" w:hAnsi="仿宋_GB2312" w:eastAsia="仿宋_GB2312"/>
          <w:sz w:val="32"/>
          <w:szCs w:val="30"/>
          <w:lang w:val="en-US" w:eastAsia="zh-CN"/>
        </w:rPr>
        <w:t>16.95</w:t>
      </w:r>
      <w:r>
        <w:rPr>
          <w:rFonts w:hint="eastAsia" w:ascii="仿宋_GB2312" w:hAnsi="仿宋_GB2312" w:eastAsia="仿宋_GB2312"/>
          <w:sz w:val="32"/>
          <w:szCs w:val="30"/>
        </w:rPr>
        <w:t xml:space="preserve"> %。</w:t>
      </w:r>
    </w:p>
    <w:p>
      <w:pPr>
        <w:ind w:firstLine="630"/>
        <w:jc w:val="left"/>
        <w:rPr>
          <w:rFonts w:hint="eastAsia"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w:t>
      </w:r>
      <w:r>
        <w:rPr>
          <w:rFonts w:hint="eastAsia" w:ascii="仿宋_GB2312" w:hAnsi="仿宋_GB2312" w:eastAsia="仿宋_GB2312"/>
          <w:sz w:val="32"/>
          <w:szCs w:val="30"/>
          <w:lang w:val="en-US" w:eastAsia="zh-CN"/>
        </w:rPr>
        <w:t>327.19</w:t>
      </w:r>
      <w:r>
        <w:rPr>
          <w:rFonts w:hint="eastAsia" w:ascii="仿宋_GB2312" w:hAnsi="仿宋_GB2312" w:eastAsia="仿宋_GB2312"/>
          <w:sz w:val="32"/>
          <w:szCs w:val="30"/>
        </w:rPr>
        <w:t>万元，决算数为</w:t>
      </w:r>
      <w:r>
        <w:rPr>
          <w:rFonts w:hint="eastAsia" w:ascii="仿宋_GB2312" w:hAnsi="仿宋_GB2312" w:eastAsia="仿宋_GB2312"/>
          <w:sz w:val="32"/>
          <w:szCs w:val="30"/>
          <w:lang w:val="en-US" w:eastAsia="zh-CN"/>
        </w:rPr>
        <w:t>357.56</w:t>
      </w:r>
      <w:r>
        <w:rPr>
          <w:rFonts w:hint="eastAsia" w:ascii="仿宋_GB2312" w:hAnsi="仿宋_GB2312" w:eastAsia="仿宋_GB2312"/>
          <w:sz w:val="32"/>
          <w:szCs w:val="30"/>
        </w:rPr>
        <w:t xml:space="preserve"> 万元，完成年初预算的</w:t>
      </w:r>
      <w:r>
        <w:rPr>
          <w:rFonts w:hint="eastAsia" w:ascii="仿宋_GB2312" w:hAnsi="仿宋_GB2312" w:eastAsia="仿宋_GB2312"/>
          <w:sz w:val="32"/>
          <w:szCs w:val="30"/>
          <w:lang w:val="en-US" w:eastAsia="zh-CN"/>
        </w:rPr>
        <w:t>109.28</w:t>
      </w:r>
      <w:r>
        <w:rPr>
          <w:rFonts w:hint="eastAsia" w:ascii="仿宋_GB2312" w:hAnsi="仿宋_GB2312" w:eastAsia="仿宋_GB2312"/>
          <w:sz w:val="32"/>
          <w:szCs w:val="30"/>
        </w:rPr>
        <w:t>%。其中：</w:t>
      </w:r>
    </w:p>
    <w:p>
      <w:pPr>
        <w:ind w:firstLine="630"/>
        <w:jc w:val="left"/>
        <w:rPr>
          <w:rFonts w:hint="eastAsia" w:ascii="仿宋" w:hAnsi="仿宋" w:eastAsia="仿宋"/>
          <w:sz w:val="32"/>
          <w:szCs w:val="30"/>
        </w:rPr>
      </w:pPr>
      <w:r>
        <w:rPr>
          <w:rFonts w:hint="eastAsia" w:ascii="仿宋_GB2312" w:hAnsi="仿宋_GB2312" w:eastAsia="仿宋_GB2312"/>
          <w:sz w:val="32"/>
          <w:szCs w:val="30"/>
        </w:rPr>
        <w:t xml:space="preserve">（一）一般公共服务支出年初预算数为 </w:t>
      </w:r>
      <w:r>
        <w:rPr>
          <w:rFonts w:hint="eastAsia" w:ascii="仿宋_GB2312" w:hAnsi="仿宋_GB2312" w:eastAsia="仿宋_GB2312"/>
          <w:sz w:val="32"/>
          <w:szCs w:val="30"/>
          <w:lang w:val="en-US" w:eastAsia="zh-CN"/>
        </w:rPr>
        <w:t>327.19</w:t>
      </w:r>
      <w:r>
        <w:rPr>
          <w:rFonts w:hint="eastAsia" w:ascii="仿宋_GB2312" w:hAnsi="仿宋_GB2312" w:eastAsia="仿宋_GB2312"/>
          <w:sz w:val="32"/>
          <w:szCs w:val="30"/>
        </w:rPr>
        <w:t xml:space="preserve"> 万元，决算数为</w:t>
      </w:r>
      <w:r>
        <w:rPr>
          <w:rFonts w:hint="eastAsia" w:ascii="仿宋_GB2312" w:hAnsi="仿宋_GB2312" w:eastAsia="仿宋_GB2312"/>
          <w:sz w:val="32"/>
          <w:szCs w:val="30"/>
          <w:lang w:val="en-US" w:eastAsia="zh-CN"/>
        </w:rPr>
        <w:t>357.56</w:t>
      </w:r>
      <w:r>
        <w:rPr>
          <w:rFonts w:hint="eastAsia" w:ascii="仿宋_GB2312" w:hAnsi="仿宋_GB2312" w:eastAsia="仿宋_GB2312"/>
          <w:sz w:val="32"/>
          <w:szCs w:val="30"/>
        </w:rPr>
        <w:t xml:space="preserve">万元，完成年初预算的 </w:t>
      </w:r>
      <w:r>
        <w:rPr>
          <w:rFonts w:hint="eastAsia" w:ascii="仿宋_GB2312" w:hAnsi="仿宋_GB2312" w:eastAsia="仿宋_GB2312"/>
          <w:sz w:val="32"/>
          <w:szCs w:val="30"/>
          <w:lang w:val="en-US" w:eastAsia="zh-CN"/>
        </w:rPr>
        <w:t>109.28</w:t>
      </w:r>
      <w:r>
        <w:rPr>
          <w:rFonts w:hint="eastAsia" w:ascii="仿宋_GB2312" w:hAnsi="仿宋_GB2312" w:eastAsia="仿宋_GB2312"/>
          <w:sz w:val="32"/>
          <w:szCs w:val="30"/>
        </w:rPr>
        <w:t>%，主要原因是：文广局下拨</w:t>
      </w:r>
      <w:r>
        <w:rPr>
          <w:rFonts w:hint="eastAsia" w:ascii="仿宋_GB2312" w:hAnsi="仿宋_GB2312" w:eastAsia="仿宋_GB2312"/>
          <w:sz w:val="32"/>
          <w:szCs w:val="30"/>
          <w:lang w:eastAsia="zh-CN"/>
        </w:rPr>
        <w:t>总分馆建设资金</w:t>
      </w:r>
      <w:r>
        <w:rPr>
          <w:rFonts w:hint="eastAsia" w:ascii="仿宋_GB2312" w:hAnsi="仿宋_GB2312" w:eastAsia="仿宋_GB2312"/>
          <w:sz w:val="32"/>
          <w:szCs w:val="30"/>
        </w:rPr>
        <w:t>，项目支出增加。</w:t>
      </w:r>
    </w:p>
    <w:p>
      <w:pPr>
        <w:ind w:firstLine="585"/>
        <w:jc w:val="left"/>
        <w:rPr>
          <w:rFonts w:hint="eastAsia"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hint="eastAsia"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w:t>
      </w:r>
      <w:r>
        <w:rPr>
          <w:rFonts w:hint="eastAsia" w:ascii="仿宋_GB2312" w:hAnsi="仿宋_GB2312" w:eastAsia="仿宋_GB2312"/>
          <w:sz w:val="32"/>
          <w:szCs w:val="30"/>
          <w:lang w:val="en-US" w:eastAsia="zh-CN"/>
        </w:rPr>
        <w:t>392.89</w:t>
      </w:r>
      <w:r>
        <w:rPr>
          <w:rFonts w:hint="eastAsia" w:ascii="仿宋_GB2312" w:hAnsi="仿宋_GB2312" w:eastAsia="仿宋_GB2312"/>
          <w:sz w:val="32"/>
          <w:szCs w:val="30"/>
        </w:rPr>
        <w:t>万元，其中：</w:t>
      </w:r>
    </w:p>
    <w:p>
      <w:pPr>
        <w:ind w:firstLine="585"/>
        <w:jc w:val="left"/>
        <w:rPr>
          <w:rFonts w:hint="eastAsia" w:ascii="仿宋_GB2312" w:hAnsi="仿宋_GB2312" w:eastAsia="仿宋_GB2312"/>
          <w:sz w:val="32"/>
          <w:szCs w:val="30"/>
        </w:rPr>
      </w:pPr>
      <w:r>
        <w:rPr>
          <w:rFonts w:hint="eastAsia" w:ascii="仿宋_GB2312" w:hAnsi="仿宋_GB2312" w:eastAsia="仿宋_GB2312"/>
          <w:sz w:val="32"/>
          <w:szCs w:val="30"/>
        </w:rPr>
        <w:t xml:space="preserve">（一）工资福利支出 </w:t>
      </w:r>
      <w:r>
        <w:rPr>
          <w:rFonts w:hint="eastAsia" w:ascii="仿宋_GB2312" w:hAnsi="仿宋_GB2312" w:eastAsia="仿宋_GB2312"/>
          <w:sz w:val="32"/>
          <w:szCs w:val="30"/>
          <w:lang w:val="en-US" w:eastAsia="zh-CN"/>
        </w:rPr>
        <w:t>339.22</w:t>
      </w:r>
      <w:r>
        <w:rPr>
          <w:rFonts w:hint="eastAsia" w:ascii="仿宋_GB2312" w:hAnsi="仿宋_GB2312" w:eastAsia="仿宋_GB2312"/>
          <w:sz w:val="32"/>
          <w:szCs w:val="30"/>
        </w:rPr>
        <w:t>万元，较2019年</w:t>
      </w:r>
      <w:r>
        <w:rPr>
          <w:rFonts w:hint="eastAsia" w:ascii="仿宋_GB2312" w:hAnsi="仿宋_GB2312" w:eastAsia="仿宋_GB2312"/>
          <w:sz w:val="32"/>
          <w:szCs w:val="30"/>
          <w:lang w:eastAsia="zh-CN"/>
        </w:rPr>
        <w:t>增加</w:t>
      </w:r>
      <w:r>
        <w:rPr>
          <w:rFonts w:hint="eastAsia" w:ascii="仿宋_GB2312" w:hAnsi="仿宋_GB2312" w:eastAsia="仿宋_GB2312"/>
          <w:sz w:val="32"/>
          <w:szCs w:val="30"/>
          <w:lang w:val="en-US" w:eastAsia="zh-CN"/>
        </w:rPr>
        <w:t>20.3</w:t>
      </w:r>
      <w:r>
        <w:rPr>
          <w:rFonts w:hint="eastAsia" w:ascii="仿宋_GB2312" w:hAnsi="仿宋_GB2312" w:eastAsia="仿宋_GB2312"/>
          <w:sz w:val="32"/>
          <w:szCs w:val="30"/>
        </w:rPr>
        <w:t>万元，</w:t>
      </w:r>
      <w:r>
        <w:rPr>
          <w:rFonts w:hint="eastAsia" w:ascii="仿宋_GB2312" w:hAnsi="仿宋_GB2312" w:eastAsia="仿宋_GB2312"/>
          <w:sz w:val="32"/>
          <w:szCs w:val="30"/>
          <w:lang w:eastAsia="zh-CN"/>
        </w:rPr>
        <w:t>增长</w:t>
      </w:r>
      <w:r>
        <w:rPr>
          <w:rFonts w:hint="eastAsia" w:ascii="仿宋_GB2312" w:hAnsi="仿宋_GB2312" w:eastAsia="仿宋_GB2312"/>
          <w:sz w:val="32"/>
          <w:szCs w:val="30"/>
          <w:lang w:val="en-US" w:eastAsia="zh-CN"/>
        </w:rPr>
        <w:t>6</w:t>
      </w:r>
      <w:r>
        <w:rPr>
          <w:rFonts w:hint="eastAsia" w:ascii="仿宋_GB2312" w:hAnsi="仿宋_GB2312" w:eastAsia="仿宋_GB2312"/>
          <w:sz w:val="32"/>
          <w:szCs w:val="30"/>
        </w:rPr>
        <w:t xml:space="preserve"> %，主要原因是：</w:t>
      </w:r>
      <w:r>
        <w:rPr>
          <w:rFonts w:hint="eastAsia" w:ascii="仿宋_GB2312" w:hAnsi="仿宋_GB2312" w:eastAsia="仿宋_GB2312"/>
          <w:sz w:val="32"/>
          <w:szCs w:val="30"/>
          <w:lang w:eastAsia="zh-CN"/>
        </w:rPr>
        <w:t>人员经费增加</w:t>
      </w:r>
      <w:r>
        <w:rPr>
          <w:rFonts w:hint="eastAsia" w:ascii="仿宋_GB2312" w:hAnsi="仿宋_GB2312" w:eastAsia="仿宋_GB2312"/>
          <w:sz w:val="32"/>
          <w:szCs w:val="30"/>
        </w:rPr>
        <w:t>。</w:t>
      </w:r>
    </w:p>
    <w:p>
      <w:pPr>
        <w:ind w:firstLine="585"/>
        <w:jc w:val="left"/>
        <w:rPr>
          <w:rFonts w:hint="eastAsia" w:ascii="仿宋_GB2312" w:hAnsi="仿宋_GB2312" w:eastAsia="仿宋_GB2312"/>
          <w:sz w:val="32"/>
          <w:szCs w:val="30"/>
        </w:rPr>
      </w:pPr>
      <w:r>
        <w:rPr>
          <w:rFonts w:hint="eastAsia" w:ascii="仿宋_GB2312" w:hAnsi="仿宋_GB2312" w:eastAsia="仿宋_GB2312"/>
          <w:sz w:val="32"/>
          <w:szCs w:val="30"/>
        </w:rPr>
        <w:t xml:space="preserve">（二）商品和服务支出 </w:t>
      </w:r>
      <w:r>
        <w:rPr>
          <w:rFonts w:hint="eastAsia" w:ascii="仿宋_GB2312" w:hAnsi="仿宋_GB2312" w:eastAsia="仿宋_GB2312"/>
          <w:sz w:val="32"/>
          <w:szCs w:val="30"/>
          <w:lang w:val="en-US" w:eastAsia="zh-CN"/>
        </w:rPr>
        <w:t>38.28</w:t>
      </w:r>
      <w:r>
        <w:rPr>
          <w:rFonts w:hint="eastAsia" w:ascii="仿宋_GB2312" w:hAnsi="仿宋_GB2312" w:eastAsia="仿宋_GB2312"/>
          <w:sz w:val="32"/>
          <w:szCs w:val="30"/>
        </w:rPr>
        <w:t>万元，较2019年减少</w:t>
      </w:r>
      <w:r>
        <w:rPr>
          <w:rFonts w:hint="eastAsia" w:ascii="仿宋_GB2312" w:hAnsi="仿宋_GB2312" w:eastAsia="仿宋_GB2312"/>
          <w:sz w:val="32"/>
          <w:szCs w:val="30"/>
          <w:lang w:val="en-US" w:eastAsia="zh-CN"/>
        </w:rPr>
        <w:t>108.99</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284.72</w:t>
      </w:r>
      <w:r>
        <w:rPr>
          <w:rFonts w:hint="eastAsia" w:ascii="仿宋_GB2312" w:hAnsi="仿宋_GB2312" w:eastAsia="仿宋_GB2312"/>
          <w:sz w:val="32"/>
          <w:szCs w:val="30"/>
        </w:rPr>
        <w:t>%，主要原因是：</w:t>
      </w:r>
      <w:r>
        <w:rPr>
          <w:rFonts w:hint="eastAsia" w:ascii="仿宋_GB2312" w:hAnsi="仿宋_GB2312" w:eastAsia="仿宋_GB2312" w:cs="Times New Roman"/>
          <w:sz w:val="32"/>
          <w:szCs w:val="30"/>
        </w:rPr>
        <w:t>2020年度疫情</w:t>
      </w:r>
      <w:r>
        <w:rPr>
          <w:rFonts w:hint="eastAsia" w:ascii="仿宋_GB2312" w:hAnsi="仿宋_GB2312" w:eastAsia="仿宋_GB2312" w:cs="Times New Roman"/>
          <w:sz w:val="32"/>
          <w:szCs w:val="30"/>
          <w:lang w:eastAsia="zh-CN"/>
        </w:rPr>
        <w:t>影响文化活动减少</w:t>
      </w:r>
      <w:r>
        <w:rPr>
          <w:rFonts w:hint="eastAsia" w:ascii="仿宋_GB2312" w:hAnsi="仿宋_GB2312" w:eastAsia="仿宋_GB2312"/>
          <w:sz w:val="32"/>
          <w:szCs w:val="30"/>
        </w:rPr>
        <w:t>。</w:t>
      </w:r>
    </w:p>
    <w:p>
      <w:pPr>
        <w:ind w:firstLine="585"/>
        <w:jc w:val="left"/>
        <w:rPr>
          <w:rFonts w:hint="eastAsia" w:ascii="仿宋_GB2312" w:hAnsi="仿宋_GB2312" w:eastAsia="仿宋_GB2312"/>
          <w:sz w:val="32"/>
          <w:szCs w:val="30"/>
        </w:rPr>
      </w:pPr>
      <w:r>
        <w:rPr>
          <w:rFonts w:hint="eastAsia" w:ascii="仿宋_GB2312" w:hAnsi="仿宋_GB2312" w:eastAsia="仿宋_GB2312"/>
          <w:sz w:val="32"/>
          <w:szCs w:val="30"/>
        </w:rPr>
        <w:t>（三）对个人和家庭补助支出</w:t>
      </w:r>
      <w:r>
        <w:rPr>
          <w:rFonts w:hint="eastAsia" w:ascii="仿宋_GB2312" w:hAnsi="仿宋_GB2312" w:eastAsia="仿宋_GB2312"/>
          <w:sz w:val="32"/>
          <w:szCs w:val="30"/>
          <w:lang w:val="en-US" w:eastAsia="zh-CN"/>
        </w:rPr>
        <w:t>4.30</w:t>
      </w:r>
      <w:r>
        <w:rPr>
          <w:rFonts w:hint="eastAsia" w:ascii="仿宋_GB2312" w:hAnsi="仿宋_GB2312" w:eastAsia="仿宋_GB2312"/>
          <w:sz w:val="32"/>
          <w:szCs w:val="30"/>
        </w:rPr>
        <w:t>万元</w:t>
      </w:r>
      <w:r>
        <w:rPr>
          <w:rFonts w:hint="eastAsia" w:ascii="仿宋_GB2312" w:hAnsi="仿宋_GB2312" w:eastAsia="仿宋_GB2312"/>
          <w:sz w:val="32"/>
          <w:szCs w:val="30"/>
          <w:lang w:eastAsia="zh-CN"/>
        </w:rPr>
        <w:t>，</w:t>
      </w:r>
      <w:r>
        <w:rPr>
          <w:rFonts w:hint="eastAsia" w:ascii="仿宋_GB2312" w:hAnsi="仿宋_GB2312" w:eastAsia="仿宋_GB2312"/>
          <w:sz w:val="32"/>
          <w:szCs w:val="30"/>
        </w:rPr>
        <w:t>较2019年</w:t>
      </w:r>
      <w:r>
        <w:rPr>
          <w:rFonts w:hint="eastAsia" w:ascii="仿宋_GB2312" w:hAnsi="仿宋_GB2312" w:eastAsia="仿宋_GB2312"/>
          <w:sz w:val="32"/>
          <w:szCs w:val="30"/>
          <w:lang w:eastAsia="zh-CN"/>
        </w:rPr>
        <w:t>增加</w:t>
      </w:r>
      <w:r>
        <w:rPr>
          <w:rFonts w:hint="eastAsia" w:ascii="仿宋_GB2312" w:hAnsi="仿宋_GB2312" w:eastAsia="仿宋_GB2312"/>
          <w:sz w:val="32"/>
          <w:szCs w:val="30"/>
          <w:lang w:val="en-US" w:eastAsia="zh-CN"/>
        </w:rPr>
        <w:t>4.30</w:t>
      </w:r>
      <w:r>
        <w:rPr>
          <w:rFonts w:hint="eastAsia" w:ascii="仿宋_GB2312" w:hAnsi="仿宋_GB2312" w:eastAsia="仿宋_GB2312"/>
          <w:sz w:val="32"/>
          <w:szCs w:val="30"/>
        </w:rPr>
        <w:t>万元，</w:t>
      </w:r>
      <w:r>
        <w:rPr>
          <w:rFonts w:hint="eastAsia" w:ascii="仿宋_GB2312" w:hAnsi="仿宋_GB2312" w:eastAsia="仿宋_GB2312"/>
          <w:sz w:val="32"/>
          <w:szCs w:val="30"/>
          <w:lang w:eastAsia="zh-CN"/>
        </w:rPr>
        <w:t>增长</w:t>
      </w:r>
      <w:r>
        <w:rPr>
          <w:rFonts w:hint="eastAsia" w:ascii="仿宋_GB2312" w:hAnsi="仿宋_GB2312" w:eastAsia="仿宋_GB2312"/>
          <w:sz w:val="32"/>
          <w:szCs w:val="30"/>
        </w:rPr>
        <w:t>100 %</w:t>
      </w:r>
      <w:r>
        <w:rPr>
          <w:rFonts w:hint="eastAsia" w:ascii="仿宋_GB2312" w:hAnsi="仿宋_GB2312" w:eastAsia="仿宋_GB2312"/>
          <w:sz w:val="32"/>
          <w:szCs w:val="30"/>
          <w:lang w:eastAsia="zh-CN"/>
        </w:rPr>
        <w:t>；主要原因是：人员经费增加</w:t>
      </w:r>
      <w:r>
        <w:rPr>
          <w:rFonts w:hint="eastAsia" w:ascii="仿宋_GB2312" w:hAnsi="仿宋_GB2312" w:eastAsia="仿宋_GB2312"/>
          <w:sz w:val="32"/>
          <w:szCs w:val="30"/>
        </w:rPr>
        <w:t>。</w:t>
      </w:r>
    </w:p>
    <w:p>
      <w:pPr>
        <w:ind w:firstLine="585"/>
        <w:jc w:val="left"/>
        <w:rPr>
          <w:rFonts w:hint="eastAsia" w:ascii="仿宋_GB2312" w:hAnsi="仿宋_GB2312" w:eastAsia="仿宋_GB2312"/>
          <w:sz w:val="32"/>
          <w:szCs w:val="30"/>
        </w:rPr>
      </w:pPr>
      <w:r>
        <w:rPr>
          <w:rFonts w:hint="eastAsia" w:ascii="仿宋_GB2312" w:hAnsi="仿宋_GB2312" w:eastAsia="仿宋_GB2312"/>
          <w:sz w:val="32"/>
          <w:szCs w:val="30"/>
        </w:rPr>
        <w:t xml:space="preserve">（四）资本性支出 </w:t>
      </w:r>
      <w:r>
        <w:rPr>
          <w:rFonts w:hint="eastAsia" w:ascii="仿宋_GB2312" w:hAnsi="仿宋_GB2312" w:eastAsia="仿宋_GB2312"/>
          <w:sz w:val="32"/>
          <w:szCs w:val="30"/>
          <w:lang w:val="en-US" w:eastAsia="zh-CN"/>
        </w:rPr>
        <w:t>11.08</w:t>
      </w:r>
      <w:r>
        <w:rPr>
          <w:rFonts w:hint="eastAsia" w:ascii="仿宋_GB2312" w:hAnsi="仿宋_GB2312" w:eastAsia="仿宋_GB2312"/>
          <w:sz w:val="32"/>
          <w:szCs w:val="30"/>
        </w:rPr>
        <w:t>万元，较2019年</w:t>
      </w:r>
      <w:r>
        <w:rPr>
          <w:rFonts w:hint="eastAsia" w:ascii="仿宋_GB2312" w:hAnsi="仿宋_GB2312" w:eastAsia="仿宋_GB2312"/>
          <w:sz w:val="32"/>
          <w:szCs w:val="30"/>
          <w:lang w:eastAsia="zh-CN"/>
        </w:rPr>
        <w:t>增加</w:t>
      </w:r>
      <w:r>
        <w:rPr>
          <w:rFonts w:hint="eastAsia" w:ascii="仿宋_GB2312" w:hAnsi="仿宋_GB2312" w:eastAsia="仿宋_GB2312"/>
          <w:sz w:val="32"/>
          <w:szCs w:val="30"/>
          <w:lang w:val="en-US" w:eastAsia="zh-CN"/>
        </w:rPr>
        <w:t>7.35</w:t>
      </w:r>
      <w:r>
        <w:rPr>
          <w:rFonts w:hint="eastAsia" w:ascii="仿宋_GB2312" w:hAnsi="仿宋_GB2312" w:eastAsia="仿宋_GB2312"/>
          <w:sz w:val="32"/>
          <w:szCs w:val="30"/>
        </w:rPr>
        <w:t>万元，</w:t>
      </w:r>
      <w:r>
        <w:rPr>
          <w:rFonts w:hint="eastAsia" w:ascii="仿宋_GB2312" w:hAnsi="仿宋_GB2312" w:eastAsia="仿宋_GB2312"/>
          <w:sz w:val="32"/>
          <w:szCs w:val="30"/>
          <w:lang w:eastAsia="zh-CN"/>
        </w:rPr>
        <w:t>增长</w:t>
      </w:r>
      <w:r>
        <w:rPr>
          <w:rFonts w:hint="eastAsia" w:ascii="仿宋_GB2312" w:hAnsi="仿宋_GB2312" w:eastAsia="仿宋_GB2312"/>
          <w:sz w:val="32"/>
          <w:szCs w:val="30"/>
          <w:lang w:val="en-US" w:eastAsia="zh-CN"/>
        </w:rPr>
        <w:t>66.34</w:t>
      </w:r>
      <w:r>
        <w:rPr>
          <w:rFonts w:hint="eastAsia" w:ascii="仿宋_GB2312" w:hAnsi="仿宋_GB2312" w:eastAsia="仿宋_GB2312"/>
          <w:sz w:val="32"/>
          <w:szCs w:val="30"/>
        </w:rPr>
        <w:t xml:space="preserve"> %，主要原因是：</w:t>
      </w:r>
      <w:r>
        <w:rPr>
          <w:rFonts w:hint="eastAsia" w:ascii="仿宋_GB2312" w:hAnsi="仿宋_GB2312" w:eastAsia="仿宋_GB2312"/>
          <w:sz w:val="32"/>
          <w:szCs w:val="30"/>
          <w:lang w:eastAsia="zh-CN"/>
        </w:rPr>
        <w:t>文化大楼购买了专用设备</w:t>
      </w:r>
      <w:r>
        <w:rPr>
          <w:rFonts w:hint="eastAsia" w:ascii="仿宋_GB2312" w:hAnsi="仿宋_GB2312" w:eastAsia="仿宋_GB2312"/>
          <w:sz w:val="32"/>
          <w:szCs w:val="30"/>
        </w:rPr>
        <w:t>。</w:t>
      </w:r>
    </w:p>
    <w:p>
      <w:pPr>
        <w:ind w:firstLine="630"/>
        <w:jc w:val="left"/>
        <w:rPr>
          <w:rFonts w:hint="eastAsia"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0万元，决算数为  0万，其中：</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（一）因公出国（境）支出年初预算数为0万元，决算数为0万元。</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（二）公务接待费支出年初预算数为0 万元，决算数为  0万元。</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（三）公务用车购置及运行维护费支出 0万元，其中公务用车购置年初预算数为 0万元，决算数为 0万元；公务用车运行维护费支出年初预算数为0万元，决算数为0万元。</w:t>
      </w:r>
    </w:p>
    <w:p>
      <w:pPr>
        <w:ind w:firstLine="630"/>
        <w:jc w:val="left"/>
        <w:rPr>
          <w:rFonts w:hint="eastAsia" w:ascii="黑体" w:hAnsi="黑体" w:eastAsia="黑体"/>
          <w:sz w:val="32"/>
          <w:szCs w:val="30"/>
        </w:rPr>
      </w:pPr>
      <w:r>
        <w:rPr>
          <w:rFonts w:hint="eastAsia" w:ascii="黑体" w:hAnsi="黑体" w:eastAsia="黑体"/>
          <w:sz w:val="32"/>
          <w:szCs w:val="30"/>
        </w:rPr>
        <w:t>六、机关运行经费支出情况说明</w:t>
      </w:r>
    </w:p>
    <w:p>
      <w:pPr>
        <w:ind w:firstLine="630"/>
        <w:jc w:val="left"/>
        <w:rPr>
          <w:rFonts w:hint="eastAsia" w:ascii="仿宋" w:hAnsi="仿宋" w:eastAsia="仿宋"/>
          <w:sz w:val="32"/>
          <w:szCs w:val="30"/>
        </w:rPr>
      </w:pPr>
      <w:r>
        <w:rPr>
          <w:rFonts w:hint="eastAsia" w:ascii="仿宋_GB2312" w:hAnsi="仿宋_GB2312" w:eastAsia="仿宋_GB2312"/>
          <w:sz w:val="32"/>
          <w:szCs w:val="30"/>
        </w:rPr>
        <w:t>本部门2020年度机关运行经费支出</w:t>
      </w:r>
      <w:r>
        <w:rPr>
          <w:rFonts w:hint="eastAsia" w:ascii="仿宋_GB2312" w:hAnsi="仿宋_GB2312" w:eastAsia="仿宋_GB2312"/>
          <w:sz w:val="32"/>
          <w:szCs w:val="30"/>
          <w:lang w:val="en-US" w:eastAsia="zh-CN"/>
        </w:rPr>
        <w:t>1.64</w:t>
      </w:r>
      <w:r>
        <w:rPr>
          <w:rFonts w:hint="eastAsia" w:ascii="仿宋_GB2312" w:hAnsi="仿宋_GB2312" w:eastAsia="仿宋_GB2312"/>
          <w:sz w:val="32"/>
          <w:szCs w:val="30"/>
        </w:rPr>
        <w:t>万元，较年初预算数</w:t>
      </w:r>
      <w:r>
        <w:rPr>
          <w:rFonts w:hint="eastAsia" w:ascii="仿宋_GB2312" w:hAnsi="仿宋_GB2312" w:eastAsia="仿宋_GB2312"/>
          <w:sz w:val="32"/>
          <w:szCs w:val="30"/>
          <w:lang w:eastAsia="zh-CN"/>
        </w:rPr>
        <w:t>减少</w:t>
      </w:r>
      <w:r>
        <w:rPr>
          <w:rFonts w:hint="eastAsia" w:ascii="仿宋_GB2312" w:hAnsi="仿宋_GB2312" w:eastAsia="仿宋_GB2312"/>
          <w:sz w:val="32"/>
          <w:szCs w:val="30"/>
          <w:lang w:val="en-US" w:eastAsia="zh-CN"/>
        </w:rPr>
        <w:t>34.61</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2110.36</w:t>
      </w:r>
      <w:r>
        <w:rPr>
          <w:rFonts w:hint="eastAsia" w:ascii="仿宋_GB2312" w:hAnsi="仿宋_GB2312" w:eastAsia="仿宋_GB2312"/>
          <w:sz w:val="32"/>
          <w:szCs w:val="30"/>
        </w:rPr>
        <w:t xml:space="preserve"> %，主要原因是：节约办公经费</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12"/>
        <w:spacing w:line="600" w:lineRule="atLeast"/>
        <w:ind w:firstLine="600"/>
        <w:rPr>
          <w:rFonts w:hint="eastAsia" w:ascii="仿宋_GB2312" w:hAnsi="仿宋_GB2312" w:eastAsia="仿宋_GB2312"/>
          <w:sz w:val="32"/>
          <w:szCs w:val="30"/>
        </w:rPr>
      </w:pPr>
      <w:r>
        <w:rPr>
          <w:rFonts w:hint="eastAsia" w:ascii="仿宋_GB2312" w:hAnsi="仿宋_GB2312" w:eastAsia="仿宋_GB2312"/>
          <w:sz w:val="32"/>
          <w:szCs w:val="30"/>
        </w:rPr>
        <w:t>本部门2020年度政府采购支出总额0万元，其中：政府采购货物支出0万元、政府采购工程支出0万元、政府采购服务支出 0万元。</w:t>
      </w:r>
    </w:p>
    <w:p>
      <w:pPr>
        <w:ind w:firstLine="630"/>
        <w:jc w:val="left"/>
        <w:rPr>
          <w:rFonts w:hint="eastAsia" w:ascii="黑体" w:hAnsi="黑体" w:eastAsia="黑体"/>
          <w:sz w:val="32"/>
          <w:szCs w:val="30"/>
        </w:rPr>
      </w:pPr>
      <w:r>
        <w:rPr>
          <w:rFonts w:hint="eastAsia" w:ascii="黑体" w:hAnsi="黑体" w:eastAsia="黑体"/>
          <w:sz w:val="32"/>
          <w:szCs w:val="30"/>
        </w:rPr>
        <w:t>八、国有资产占用情况说明。</w:t>
      </w:r>
    </w:p>
    <w:p>
      <w:pPr>
        <w:ind w:firstLine="630"/>
        <w:jc w:val="left"/>
        <w:rPr>
          <w:rFonts w:hint="eastAsia" w:ascii="仿宋_GB2312" w:hAnsi="仿宋_GB2312" w:eastAsia="仿宋_GB2312" w:cs="Times New Roman"/>
          <w:kern w:val="0"/>
          <w:sz w:val="32"/>
          <w:szCs w:val="30"/>
          <w:lang w:val="en-US" w:eastAsia="zh-CN" w:bidi="ar-SA"/>
        </w:rPr>
      </w:pPr>
      <w:r>
        <w:rPr>
          <w:rFonts w:hint="eastAsia" w:ascii="仿宋_GB2312" w:hAnsi="仿宋_GB2312" w:eastAsia="仿宋_GB2312" w:cs="Times New Roman"/>
          <w:kern w:val="0"/>
          <w:sz w:val="32"/>
          <w:szCs w:val="30"/>
          <w:lang w:val="en-US" w:eastAsia="zh-CN" w:bidi="ar-SA"/>
        </w:rPr>
        <w:t>截止2020年12月31日，本部门共有车辆0辆，其 中：机要通信用车 0 辆，执法执勤用车0 辆、其他用车0 辆。其他用车主要是一般公务用车0辆。</w:t>
      </w:r>
    </w:p>
    <w:p>
      <w:pPr>
        <w:spacing w:line="600" w:lineRule="exact"/>
        <w:ind w:firstLine="840"/>
        <w:rPr>
          <w:rFonts w:hint="eastAsia" w:ascii="仿宋_GB2312" w:hAnsi="仿宋_GB2312" w:eastAsia="仿宋_GB2312" w:cs="Times New Roman"/>
          <w:kern w:val="0"/>
          <w:sz w:val="32"/>
          <w:szCs w:val="30"/>
          <w:lang w:val="en-US" w:eastAsia="zh-CN" w:bidi="ar-SA"/>
        </w:rPr>
      </w:pPr>
      <w:r>
        <w:rPr>
          <w:rFonts w:hint="eastAsia" w:ascii="仿宋_GB2312" w:hAnsi="仿宋_GB2312" w:eastAsia="仿宋_GB2312" w:cs="Times New Roman"/>
          <w:kern w:val="0"/>
          <w:sz w:val="32"/>
          <w:szCs w:val="30"/>
          <w:lang w:val="en-US" w:eastAsia="zh-CN" w:bidi="ar-SA"/>
        </w:rPr>
        <w:t>单位价值 50 万元以上通用设备 0台（套） ，单价 100</w:t>
      </w:r>
    </w:p>
    <w:p>
      <w:pPr>
        <w:pStyle w:val="2"/>
        <w:rPr>
          <w:rFonts w:hint="default" w:ascii="仿宋_GB2312" w:hAnsi="仿宋_GB2312" w:eastAsia="仿宋_GB2312" w:cs="Times New Roman"/>
          <w:b w:val="0"/>
          <w:kern w:val="0"/>
          <w:sz w:val="32"/>
          <w:szCs w:val="30"/>
          <w:lang w:val="en-US" w:eastAsia="zh-CN" w:bidi="ar-SA"/>
        </w:rPr>
      </w:pPr>
      <w:r>
        <w:rPr>
          <w:rFonts w:hint="eastAsia" w:ascii="仿宋_GB2312" w:hAnsi="仿宋_GB2312" w:eastAsia="仿宋_GB2312" w:cs="Times New Roman"/>
          <w:b w:val="0"/>
          <w:kern w:val="0"/>
          <w:sz w:val="32"/>
          <w:szCs w:val="30"/>
          <w:lang w:val="en-US" w:eastAsia="zh-CN" w:bidi="ar-SA"/>
        </w:rPr>
        <w:t>万元以上专用设备0 台（套）。</w:t>
      </w:r>
    </w:p>
    <w:p>
      <w:pPr>
        <w:ind w:firstLine="630"/>
        <w:jc w:val="left"/>
        <w:rPr>
          <w:rFonts w:hint="eastAsia"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hint="eastAsia"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240" w:lineRule="auto"/>
        <w:ind w:firstLine="6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根据预算绩效管理要求，我局组织对</w:t>
      </w:r>
      <w:r>
        <w:rPr>
          <w:rFonts w:ascii="仿宋" w:hAnsi="仿宋" w:eastAsia="仿宋" w:cs="仿宋_GB2312"/>
          <w:kern w:val="0"/>
          <w:sz w:val="32"/>
          <w:szCs w:val="32"/>
        </w:rPr>
        <w:t>20</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年度一般公共预算项目支出全面开展绩效自评，其中，一级项目</w:t>
      </w: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rPr>
        <w:t>个，共涉及资金</w:t>
      </w:r>
      <w:r>
        <w:rPr>
          <w:rFonts w:hint="eastAsia" w:ascii="仿宋" w:hAnsi="仿宋" w:eastAsia="仿宋" w:cs="仿宋_GB2312"/>
          <w:kern w:val="0"/>
          <w:sz w:val="32"/>
          <w:szCs w:val="32"/>
          <w:lang w:val="en-US" w:eastAsia="zh-CN"/>
        </w:rPr>
        <w:t>81</w:t>
      </w:r>
      <w:r>
        <w:rPr>
          <w:rFonts w:hint="eastAsia" w:ascii="仿宋" w:hAnsi="仿宋" w:eastAsia="仿宋" w:cs="仿宋_GB2312"/>
          <w:kern w:val="0"/>
          <w:sz w:val="32"/>
          <w:szCs w:val="32"/>
        </w:rPr>
        <w:t>万元。</w:t>
      </w:r>
    </w:p>
    <w:p>
      <w:pPr>
        <w:autoSpaceDE w:val="0"/>
        <w:autoSpaceDN w:val="0"/>
        <w:adjustRightInd w:val="0"/>
        <w:spacing w:line="240" w:lineRule="auto"/>
        <w:ind w:firstLine="585"/>
        <w:jc w:val="left"/>
        <w:rPr>
          <w:rFonts w:hint="eastAsia" w:ascii="仿宋" w:hAnsi="仿宋" w:eastAsia="仿宋" w:cs="仿宋_GB2312"/>
          <w:kern w:val="0"/>
          <w:sz w:val="32"/>
          <w:szCs w:val="32"/>
        </w:rPr>
      </w:pPr>
      <w:r>
        <w:rPr>
          <w:rFonts w:hint="eastAsia" w:ascii="仿宋" w:hAnsi="仿宋" w:eastAsia="仿宋" w:cs="仿宋_GB2312"/>
          <w:kern w:val="0"/>
          <w:sz w:val="32"/>
          <w:szCs w:val="32"/>
        </w:rPr>
        <w:t>我局今年在省级部门</w:t>
      </w:r>
      <w:r>
        <w:rPr>
          <w:rFonts w:hint="eastAsia" w:ascii="仿宋" w:hAnsi="仿宋" w:eastAsia="仿宋" w:cs="仿宋_GB2312"/>
          <w:kern w:val="0"/>
          <w:sz w:val="32"/>
          <w:szCs w:val="32"/>
          <w:lang w:eastAsia="zh-CN"/>
        </w:rPr>
        <w:t>决算项目绩效自评</w:t>
      </w:r>
      <w:r>
        <w:rPr>
          <w:rFonts w:hint="eastAsia" w:ascii="仿宋" w:hAnsi="仿宋" w:eastAsia="仿宋" w:cs="仿宋_GB2312"/>
          <w:kern w:val="0"/>
          <w:sz w:val="32"/>
          <w:szCs w:val="32"/>
        </w:rPr>
        <w:t>中反映旅</w:t>
      </w:r>
      <w:r>
        <w:rPr>
          <w:rFonts w:hint="eastAsia" w:ascii="仿宋" w:hAnsi="仿宋" w:eastAsia="仿宋" w:cs="仿宋_GB2312"/>
          <w:kern w:val="0"/>
          <w:sz w:val="32"/>
          <w:szCs w:val="32"/>
          <w:lang w:eastAsia="zh-CN"/>
        </w:rPr>
        <w:t>免费开放、文化发展基金</w:t>
      </w:r>
      <w:r>
        <w:rPr>
          <w:rFonts w:hint="eastAsia" w:ascii="仿宋" w:hAnsi="仿宋" w:eastAsia="仿宋" w:cs="仿宋_GB2312"/>
          <w:kern w:val="0"/>
          <w:sz w:val="32"/>
          <w:szCs w:val="32"/>
          <w:lang w:val="en-US" w:eastAsia="zh-CN"/>
        </w:rPr>
        <w:t>2个</w:t>
      </w:r>
      <w:r>
        <w:rPr>
          <w:rFonts w:hint="eastAsia" w:ascii="仿宋" w:hAnsi="仿宋" w:eastAsia="仿宋" w:cs="仿宋_GB2312"/>
          <w:kern w:val="0"/>
          <w:sz w:val="32"/>
          <w:szCs w:val="32"/>
        </w:rPr>
        <w:t>项目绩效自评结果。</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w:t>
      </w:r>
    </w:p>
    <w:p>
      <w:pPr>
        <w:autoSpaceDE w:val="0"/>
        <w:autoSpaceDN w:val="0"/>
        <w:adjustRightInd w:val="0"/>
        <w:spacing w:line="240" w:lineRule="auto"/>
        <w:ind w:firstLine="600" w:firstLineChars="200"/>
        <w:jc w:val="left"/>
        <w:rPr>
          <w:rFonts w:hint="eastAsia" w:ascii="仿宋" w:hAnsi="仿宋" w:eastAsia="仿宋" w:cs="仿宋"/>
          <w:sz w:val="32"/>
          <w:szCs w:val="32"/>
        </w:rPr>
      </w:pPr>
      <w:r>
        <w:rPr>
          <w:rFonts w:hint="eastAsia" w:ascii="仿宋" w:hAnsi="仿宋" w:eastAsia="仿宋" w:cs="仿宋_GB2312"/>
          <w:kern w:val="0"/>
          <w:sz w:val="30"/>
          <w:szCs w:val="30"/>
        </w:rPr>
        <w:t>自评项目</w:t>
      </w:r>
      <w:r>
        <w:rPr>
          <w:rFonts w:hint="eastAsia" w:ascii="仿宋" w:hAnsi="仿宋" w:eastAsia="仿宋" w:cs="仿宋_GB2312"/>
          <w:kern w:val="0"/>
          <w:sz w:val="30"/>
          <w:szCs w:val="30"/>
          <w:lang w:val="en-US" w:eastAsia="zh-CN"/>
        </w:rPr>
        <w:t>2</w:t>
      </w:r>
      <w:r>
        <w:rPr>
          <w:rFonts w:hint="eastAsia" w:ascii="仿宋" w:hAnsi="仿宋" w:eastAsia="仿宋" w:cs="仿宋_GB2312"/>
          <w:kern w:val="0"/>
          <w:sz w:val="30"/>
          <w:szCs w:val="30"/>
        </w:rPr>
        <w:t>个，涉及资金</w:t>
      </w:r>
      <w:r>
        <w:rPr>
          <w:rFonts w:hint="eastAsia" w:ascii="仿宋" w:hAnsi="仿宋" w:eastAsia="仿宋" w:cs="仿宋_GB2312"/>
          <w:kern w:val="0"/>
          <w:sz w:val="30"/>
          <w:szCs w:val="30"/>
          <w:lang w:val="en-US" w:eastAsia="zh-CN"/>
        </w:rPr>
        <w:t>78.5</w:t>
      </w:r>
      <w:r>
        <w:rPr>
          <w:rFonts w:hint="eastAsia" w:ascii="仿宋" w:hAnsi="仿宋" w:eastAsia="仿宋" w:cs="仿宋_GB2312"/>
          <w:kern w:val="0"/>
          <w:sz w:val="30"/>
          <w:szCs w:val="30"/>
        </w:rPr>
        <w:t>万元。 组织对“</w:t>
      </w:r>
      <w:r>
        <w:rPr>
          <w:rFonts w:hint="eastAsia" w:ascii="仿宋" w:hAnsi="仿宋" w:eastAsia="仿宋" w:cs="仿宋_GB2312"/>
          <w:kern w:val="0"/>
          <w:sz w:val="30"/>
          <w:szCs w:val="30"/>
          <w:lang w:eastAsia="zh-CN"/>
        </w:rPr>
        <w:t>免费开放、文化发展</w:t>
      </w:r>
      <w:r>
        <w:rPr>
          <w:rFonts w:hint="eastAsia" w:ascii="仿宋" w:hAnsi="仿宋" w:eastAsia="仿宋" w:cs="仿宋_GB2312"/>
          <w:kern w:val="0"/>
          <w:sz w:val="32"/>
          <w:szCs w:val="32"/>
          <w:lang w:eastAsia="zh-CN"/>
        </w:rPr>
        <w:t>基金</w:t>
      </w:r>
      <w:r>
        <w:rPr>
          <w:rFonts w:hint="eastAsia" w:ascii="仿宋" w:hAnsi="仿宋" w:eastAsia="仿宋" w:cs="仿宋_GB2312"/>
          <w:kern w:val="0"/>
          <w:sz w:val="32"/>
          <w:szCs w:val="32"/>
        </w:rPr>
        <w:t>”</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个项目进行了绩效运行监控管理，涉及一般公共预算支出</w:t>
      </w:r>
      <w:r>
        <w:rPr>
          <w:rFonts w:hint="eastAsia" w:ascii="仿宋" w:hAnsi="仿宋" w:eastAsia="仿宋" w:cs="仿宋_GB2312"/>
          <w:kern w:val="0"/>
          <w:sz w:val="32"/>
          <w:szCs w:val="32"/>
          <w:lang w:val="en-US" w:eastAsia="zh-CN"/>
        </w:rPr>
        <w:t>78.5</w:t>
      </w:r>
      <w:r>
        <w:rPr>
          <w:rFonts w:hint="eastAsia" w:ascii="仿宋" w:hAnsi="仿宋" w:eastAsia="仿宋" w:cs="仿宋_GB2312"/>
          <w:kern w:val="0"/>
          <w:sz w:val="32"/>
          <w:szCs w:val="32"/>
        </w:rPr>
        <w:t>万元。从</w:t>
      </w:r>
      <w:r>
        <w:rPr>
          <w:rFonts w:hint="eastAsia" w:ascii="仿宋" w:hAnsi="仿宋" w:eastAsia="仿宋" w:cs="仿宋_GB2312"/>
          <w:kern w:val="0"/>
          <w:sz w:val="32"/>
          <w:szCs w:val="32"/>
          <w:lang w:eastAsia="zh-CN"/>
        </w:rPr>
        <w:t>评价</w:t>
      </w:r>
      <w:r>
        <w:rPr>
          <w:rFonts w:hint="eastAsia" w:ascii="仿宋" w:hAnsi="仿宋" w:eastAsia="仿宋" w:cs="仿宋_GB2312"/>
          <w:kern w:val="0"/>
          <w:sz w:val="32"/>
          <w:szCs w:val="32"/>
        </w:rPr>
        <w:t>情况来看，</w:t>
      </w:r>
      <w:r>
        <w:rPr>
          <w:rFonts w:hint="eastAsia" w:ascii="仿宋" w:hAnsi="仿宋" w:eastAsia="仿宋" w:cs="仿宋"/>
          <w:sz w:val="32"/>
          <w:szCs w:val="32"/>
        </w:rPr>
        <w:t>西湖区文化广电新闻出版旅游局严格按照经费管理原则管理和使用，严格执行预算管理、防止各种违反财经纪律的行为、保障重点、量入为出、收支平衡的原则，提高了资金使用效益。项目绩效自评</w:t>
      </w:r>
      <w:r>
        <w:rPr>
          <w:rFonts w:hint="eastAsia" w:ascii="仿宋" w:hAnsi="仿宋" w:eastAsia="仿宋" w:cs="仿宋"/>
          <w:sz w:val="32"/>
          <w:szCs w:val="32"/>
          <w:lang w:eastAsia="zh-CN"/>
        </w:rPr>
        <w:t>平均分</w:t>
      </w:r>
      <w:r>
        <w:rPr>
          <w:rFonts w:hint="eastAsia" w:ascii="仿宋" w:hAnsi="仿宋" w:eastAsia="仿宋" w:cs="仿宋"/>
          <w:sz w:val="32"/>
          <w:szCs w:val="32"/>
        </w:rPr>
        <w:t>得分为</w:t>
      </w:r>
      <w:r>
        <w:rPr>
          <w:rFonts w:hint="eastAsia" w:ascii="仿宋" w:hAnsi="仿宋" w:eastAsia="仿宋" w:cs="仿宋"/>
          <w:sz w:val="32"/>
          <w:szCs w:val="32"/>
          <w:lang w:val="en-US" w:eastAsia="zh-CN"/>
        </w:rPr>
        <w:t>94.5</w:t>
      </w:r>
      <w:r>
        <w:rPr>
          <w:rFonts w:hint="eastAsia" w:ascii="仿宋" w:hAnsi="仿宋" w:eastAsia="仿宋" w:cs="仿宋"/>
          <w:sz w:val="32"/>
          <w:szCs w:val="32"/>
        </w:rPr>
        <w:t>分，经绩效评价小组复核，项目最终绩效评价得分为</w:t>
      </w:r>
      <w:r>
        <w:rPr>
          <w:rFonts w:hint="eastAsia" w:ascii="仿宋" w:hAnsi="仿宋" w:eastAsia="仿宋" w:cs="仿宋"/>
          <w:sz w:val="32"/>
          <w:szCs w:val="32"/>
          <w:lang w:val="en-US" w:eastAsia="zh-CN"/>
        </w:rPr>
        <w:t>94.5</w:t>
      </w:r>
      <w:r>
        <w:rPr>
          <w:rFonts w:hint="eastAsia" w:ascii="仿宋" w:hAnsi="仿宋" w:eastAsia="仿宋" w:cs="仿宋"/>
          <w:sz w:val="32"/>
          <w:szCs w:val="32"/>
        </w:rPr>
        <w:t>分，评价等级为“优”。</w:t>
      </w:r>
    </w:p>
    <w:p>
      <w:pPr>
        <w:pStyle w:val="2"/>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kern w:val="0"/>
          <w:sz w:val="32"/>
          <w:szCs w:val="32"/>
          <w:lang w:eastAsia="zh-CN"/>
        </w:rPr>
        <w:t>旅游工作经费</w:t>
      </w:r>
      <w:r>
        <w:rPr>
          <w:rFonts w:hint="eastAsia" w:ascii="仿宋" w:hAnsi="仿宋" w:eastAsia="仿宋" w:cs="仿宋"/>
          <w:b w:val="0"/>
          <w:bCs/>
          <w:kern w:val="0"/>
          <w:sz w:val="32"/>
          <w:szCs w:val="32"/>
        </w:rPr>
        <w:t>项目绩效自评综述：根据年初设定的绩效目标，</w:t>
      </w:r>
      <w:r>
        <w:rPr>
          <w:rFonts w:hint="eastAsia" w:ascii="仿宋" w:hAnsi="仿宋" w:eastAsia="仿宋" w:cs="仿宋"/>
          <w:b w:val="0"/>
          <w:bCs/>
          <w:kern w:val="0"/>
          <w:sz w:val="32"/>
          <w:szCs w:val="32"/>
          <w:lang w:eastAsia="zh-CN"/>
        </w:rPr>
        <w:t>免费开放项目绩效自评得分为</w:t>
      </w:r>
      <w:r>
        <w:rPr>
          <w:rFonts w:hint="eastAsia" w:ascii="仿宋" w:hAnsi="仿宋" w:eastAsia="仿宋" w:cs="仿宋"/>
          <w:b w:val="0"/>
          <w:bCs/>
          <w:kern w:val="0"/>
          <w:sz w:val="32"/>
          <w:szCs w:val="32"/>
          <w:lang w:val="en-US" w:eastAsia="zh-CN"/>
        </w:rPr>
        <w:t>97分；</w:t>
      </w:r>
      <w:r>
        <w:rPr>
          <w:rFonts w:hint="eastAsia" w:ascii="仿宋" w:hAnsi="仿宋" w:eastAsia="仿宋" w:cs="仿宋"/>
          <w:b w:val="0"/>
          <w:bCs/>
          <w:kern w:val="0"/>
          <w:sz w:val="32"/>
          <w:szCs w:val="32"/>
        </w:rPr>
        <w:t>项目全年预算数为</w:t>
      </w:r>
      <w:r>
        <w:rPr>
          <w:rFonts w:hint="eastAsia" w:ascii="仿宋" w:hAnsi="仿宋" w:eastAsia="仿宋" w:cs="仿宋"/>
          <w:b w:val="0"/>
          <w:bCs/>
          <w:kern w:val="0"/>
          <w:sz w:val="32"/>
          <w:szCs w:val="32"/>
          <w:lang w:val="en-US" w:eastAsia="zh-CN"/>
        </w:rPr>
        <w:t>8.5</w:t>
      </w:r>
      <w:r>
        <w:rPr>
          <w:rFonts w:hint="eastAsia" w:ascii="仿宋" w:hAnsi="仿宋" w:eastAsia="仿宋" w:cs="仿宋"/>
          <w:b w:val="0"/>
          <w:bCs/>
          <w:kern w:val="0"/>
          <w:sz w:val="32"/>
          <w:szCs w:val="32"/>
        </w:rPr>
        <w:t xml:space="preserve">万元，执行数为 </w:t>
      </w:r>
      <w:r>
        <w:rPr>
          <w:rFonts w:hint="eastAsia" w:ascii="仿宋" w:hAnsi="仿宋" w:eastAsia="仿宋" w:cs="仿宋"/>
          <w:b w:val="0"/>
          <w:bCs/>
          <w:kern w:val="0"/>
          <w:sz w:val="32"/>
          <w:szCs w:val="32"/>
          <w:lang w:val="en-US" w:eastAsia="zh-CN"/>
        </w:rPr>
        <w:t>8.5</w:t>
      </w:r>
      <w:r>
        <w:rPr>
          <w:rFonts w:hint="eastAsia" w:ascii="仿宋" w:hAnsi="仿宋" w:eastAsia="仿宋" w:cs="仿宋"/>
          <w:b w:val="0"/>
          <w:bCs/>
          <w:kern w:val="0"/>
          <w:sz w:val="32"/>
          <w:szCs w:val="32"/>
        </w:rPr>
        <w:t>万元，完成预算的</w:t>
      </w:r>
      <w:r>
        <w:rPr>
          <w:rFonts w:hint="eastAsia" w:ascii="仿宋" w:hAnsi="仿宋" w:eastAsia="仿宋" w:cs="仿宋"/>
          <w:b w:val="0"/>
          <w:bCs/>
          <w:kern w:val="0"/>
          <w:sz w:val="32"/>
          <w:szCs w:val="32"/>
          <w:lang w:val="en-US" w:eastAsia="zh-CN"/>
        </w:rPr>
        <w:t>100</w:t>
      </w:r>
      <w:r>
        <w:rPr>
          <w:rFonts w:hint="eastAsia" w:ascii="仿宋" w:hAnsi="仿宋" w:eastAsia="仿宋" w:cs="仿宋"/>
          <w:b w:val="0"/>
          <w:bCs/>
          <w:kern w:val="0"/>
          <w:sz w:val="32"/>
          <w:szCs w:val="32"/>
        </w:rPr>
        <w:t xml:space="preserve"> %。</w:t>
      </w:r>
      <w:r>
        <w:rPr>
          <w:rFonts w:hint="eastAsia" w:ascii="仿宋" w:hAnsi="仿宋" w:eastAsia="仿宋" w:cs="仿宋"/>
          <w:b w:val="0"/>
          <w:bCs/>
          <w:kern w:val="0"/>
          <w:sz w:val="32"/>
          <w:szCs w:val="32"/>
          <w:lang w:eastAsia="zh-CN"/>
        </w:rPr>
        <w:t>文化发展基金项目绩效自评得分为</w:t>
      </w:r>
      <w:r>
        <w:rPr>
          <w:rFonts w:hint="eastAsia" w:ascii="仿宋" w:hAnsi="仿宋" w:eastAsia="仿宋" w:cs="仿宋"/>
          <w:b w:val="0"/>
          <w:bCs/>
          <w:kern w:val="0"/>
          <w:sz w:val="32"/>
          <w:szCs w:val="32"/>
          <w:lang w:val="en-US" w:eastAsia="zh-CN"/>
        </w:rPr>
        <w:t>94分；</w:t>
      </w:r>
      <w:r>
        <w:rPr>
          <w:rFonts w:hint="eastAsia" w:ascii="仿宋" w:hAnsi="仿宋" w:eastAsia="仿宋" w:cs="仿宋"/>
          <w:b w:val="0"/>
          <w:bCs/>
          <w:kern w:val="0"/>
          <w:sz w:val="32"/>
          <w:szCs w:val="32"/>
        </w:rPr>
        <w:t>项目全年预算数为</w:t>
      </w:r>
      <w:r>
        <w:rPr>
          <w:rFonts w:hint="eastAsia" w:ascii="仿宋" w:hAnsi="仿宋" w:eastAsia="仿宋" w:cs="仿宋"/>
          <w:b w:val="0"/>
          <w:bCs/>
          <w:kern w:val="0"/>
          <w:sz w:val="32"/>
          <w:szCs w:val="32"/>
          <w:lang w:val="en-US" w:eastAsia="zh-CN"/>
        </w:rPr>
        <w:t>70</w:t>
      </w:r>
      <w:r>
        <w:rPr>
          <w:rFonts w:hint="eastAsia" w:ascii="仿宋" w:hAnsi="仿宋" w:eastAsia="仿宋" w:cs="仿宋"/>
          <w:b w:val="0"/>
          <w:bCs/>
          <w:kern w:val="0"/>
          <w:sz w:val="32"/>
          <w:szCs w:val="32"/>
        </w:rPr>
        <w:t xml:space="preserve">万元，执行数为 </w:t>
      </w:r>
      <w:r>
        <w:rPr>
          <w:rFonts w:hint="eastAsia" w:ascii="仿宋" w:hAnsi="仿宋" w:eastAsia="仿宋" w:cs="仿宋"/>
          <w:b w:val="0"/>
          <w:bCs/>
          <w:kern w:val="0"/>
          <w:sz w:val="32"/>
          <w:szCs w:val="32"/>
          <w:lang w:val="en-US" w:eastAsia="zh-CN"/>
        </w:rPr>
        <w:t>70</w:t>
      </w:r>
      <w:r>
        <w:rPr>
          <w:rFonts w:hint="eastAsia" w:ascii="仿宋" w:hAnsi="仿宋" w:eastAsia="仿宋" w:cs="仿宋"/>
          <w:b w:val="0"/>
          <w:bCs/>
          <w:kern w:val="0"/>
          <w:sz w:val="32"/>
          <w:szCs w:val="32"/>
        </w:rPr>
        <w:t>万元，完成预算的</w:t>
      </w:r>
      <w:r>
        <w:rPr>
          <w:rFonts w:hint="eastAsia" w:ascii="仿宋" w:hAnsi="仿宋" w:eastAsia="仿宋" w:cs="仿宋"/>
          <w:b w:val="0"/>
          <w:bCs/>
          <w:kern w:val="0"/>
          <w:sz w:val="32"/>
          <w:szCs w:val="32"/>
          <w:lang w:val="en-US" w:eastAsia="zh-CN"/>
        </w:rPr>
        <w:t>100</w:t>
      </w:r>
      <w:r>
        <w:rPr>
          <w:rFonts w:hint="eastAsia" w:ascii="仿宋" w:hAnsi="仿宋" w:eastAsia="仿宋" w:cs="仿宋"/>
          <w:b w:val="0"/>
          <w:bCs/>
          <w:kern w:val="0"/>
          <w:sz w:val="32"/>
          <w:szCs w:val="32"/>
        </w:rPr>
        <w:t xml:space="preserve"> %</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主要产出和效果：一是数量指标：</w:t>
      </w:r>
      <w:r>
        <w:rPr>
          <w:rFonts w:hint="eastAsia" w:ascii="仿宋" w:hAnsi="仿宋" w:eastAsia="仿宋" w:cs="仿宋"/>
          <w:b w:val="0"/>
          <w:bCs/>
          <w:kern w:val="0"/>
          <w:sz w:val="32"/>
          <w:szCs w:val="32"/>
          <w:lang w:val="en-US" w:eastAsia="zh-CN"/>
        </w:rPr>
        <w:t>举办公益性培训了450课时；每周开馆时间为56小时；举办了4场群演活动；</w:t>
      </w:r>
      <w:r>
        <w:rPr>
          <w:rFonts w:hint="eastAsia" w:ascii="仿宋" w:hAnsi="仿宋" w:eastAsia="仿宋"/>
          <w:b w:val="0"/>
          <w:bCs/>
          <w:color w:val="000000"/>
          <w:sz w:val="32"/>
          <w:szCs w:val="32"/>
          <w:lang w:val="en-US" w:eastAsia="zh-CN"/>
        </w:rPr>
        <w:t>举办文化活动15场次；</w:t>
      </w:r>
      <w:r>
        <w:rPr>
          <w:rFonts w:hint="eastAsia" w:ascii="仿宋" w:hAnsi="仿宋" w:eastAsia="仿宋" w:cs="仿宋"/>
          <w:b w:val="0"/>
          <w:bCs/>
          <w:kern w:val="0"/>
          <w:sz w:val="32"/>
          <w:szCs w:val="32"/>
        </w:rPr>
        <w:t>二是</w:t>
      </w:r>
      <w:r>
        <w:rPr>
          <w:rFonts w:hint="eastAsia" w:ascii="仿宋" w:hAnsi="仿宋" w:eastAsia="仿宋" w:cs="仿宋"/>
          <w:b w:val="0"/>
          <w:bCs/>
          <w:kern w:val="0"/>
          <w:sz w:val="32"/>
          <w:szCs w:val="32"/>
          <w:lang w:eastAsia="zh-CN"/>
        </w:rPr>
        <w:t>质量指标：</w:t>
      </w:r>
      <w:r>
        <w:rPr>
          <w:rFonts w:hint="eastAsia" w:ascii="仿宋" w:hAnsi="仿宋" w:eastAsia="仿宋" w:cs="仿宋"/>
          <w:b w:val="0"/>
          <w:bCs/>
          <w:kern w:val="0"/>
          <w:sz w:val="32"/>
          <w:szCs w:val="32"/>
        </w:rPr>
        <w:t>由西湖区文化馆文化志愿者王站温携手老搭档张轲共同创作的一首原创作品《我们在一起》，由张轲老师作曲，王战温老师萨克斯演奏</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三是</w:t>
      </w:r>
      <w:r>
        <w:rPr>
          <w:rFonts w:hint="eastAsia" w:ascii="仿宋" w:hAnsi="仿宋" w:eastAsia="仿宋" w:cs="仿宋"/>
          <w:b w:val="0"/>
          <w:bCs/>
          <w:kern w:val="0"/>
          <w:sz w:val="32"/>
          <w:szCs w:val="32"/>
          <w:lang w:eastAsia="zh-CN"/>
        </w:rPr>
        <w:t>成本指标</w:t>
      </w:r>
      <w:r>
        <w:rPr>
          <w:rFonts w:hint="eastAsia" w:ascii="仿宋" w:hAnsi="仿宋" w:eastAsia="仿宋" w:cs="仿宋"/>
          <w:b w:val="0"/>
          <w:bCs/>
          <w:kern w:val="0"/>
          <w:sz w:val="32"/>
          <w:szCs w:val="32"/>
        </w:rPr>
        <w:t>:</w:t>
      </w:r>
      <w:r>
        <w:rPr>
          <w:rFonts w:hint="eastAsia" w:ascii="仿宋" w:hAnsi="仿宋" w:eastAsia="仿宋" w:cs="仿宋"/>
          <w:b w:val="0"/>
          <w:bCs/>
          <w:kern w:val="0"/>
          <w:sz w:val="32"/>
          <w:szCs w:val="32"/>
          <w:lang w:val="en-US" w:eastAsia="zh-CN"/>
        </w:rPr>
        <w:t>；免费开放项目预算20万元，专项资金到位8.5万元，实际支出8.5万元，预算资金执行率100%。该项目实际支出金额均控制在预算范围内；文化发展基金项目预算70万元，专项资金到位70万元，实际支出70万元，预算资金执行率100%。该项目实际支出金额均控制在预算范围内；</w:t>
      </w:r>
      <w:r>
        <w:rPr>
          <w:rFonts w:hint="eastAsia" w:ascii="仿宋" w:hAnsi="仿宋" w:eastAsia="仿宋" w:cs="仿宋"/>
          <w:b w:val="0"/>
          <w:bCs/>
          <w:kern w:val="0"/>
          <w:sz w:val="32"/>
          <w:szCs w:val="32"/>
        </w:rPr>
        <w:t>四是生态效益指标:</w:t>
      </w:r>
      <w:r>
        <w:rPr>
          <w:rFonts w:hint="eastAsia" w:ascii="仿宋" w:hAnsi="仿宋" w:eastAsia="仿宋" w:cs="仿宋"/>
          <w:b w:val="0"/>
          <w:bCs/>
          <w:kern w:val="0"/>
          <w:sz w:val="32"/>
          <w:szCs w:val="32"/>
          <w:lang w:val="en-US" w:eastAsia="zh-CN"/>
        </w:rPr>
        <w:t>通过西湖区微信公众号、西湖区文化馆微信公众号、江西日报等媒体发布活动内容；</w:t>
      </w:r>
      <w:r>
        <w:rPr>
          <w:rFonts w:hint="eastAsia" w:ascii="仿宋" w:hAnsi="仿宋" w:eastAsia="仿宋" w:cs="Times New Roman"/>
          <w:b w:val="0"/>
          <w:bCs/>
          <w:kern w:val="2"/>
          <w:sz w:val="32"/>
          <w:szCs w:val="32"/>
          <w:lang w:val="en-US" w:eastAsia="zh-CN" w:bidi="ar-SA"/>
        </w:rPr>
        <w:t>着眼满足人民群众精神文化生活新期待，丰富人民群众精神生活，以高质量文化供给增强人们的文化获得感幸福感</w:t>
      </w:r>
      <w:r>
        <w:rPr>
          <w:rFonts w:hint="eastAsia" w:ascii="仿宋" w:hAnsi="仿宋" w:eastAsia="仿宋" w:cs="仿宋"/>
          <w:b w:val="0"/>
          <w:bCs/>
          <w:kern w:val="0"/>
          <w:sz w:val="32"/>
          <w:szCs w:val="32"/>
          <w:lang w:val="en-US" w:eastAsia="zh-CN"/>
        </w:rPr>
        <w:t>。发现的问题及原因：由于受疫情影响，文旅活动的群众受益面未达到要求；群众文化质量上有所提升，但亮点不够；</w:t>
      </w:r>
      <w:r>
        <w:rPr>
          <w:rFonts w:hint="eastAsia" w:ascii="仿宋" w:hAnsi="仿宋" w:eastAsia="仿宋" w:cs="仿宋"/>
          <w:b w:val="0"/>
          <w:bCs/>
          <w:kern w:val="0"/>
          <w:sz w:val="32"/>
          <w:szCs w:val="32"/>
        </w:rPr>
        <w:t>下一步改进措施：</w:t>
      </w:r>
      <w:r>
        <w:rPr>
          <w:rFonts w:hint="eastAsia" w:ascii="仿宋" w:hAnsi="仿宋" w:eastAsia="仿宋" w:cs="仿宋"/>
          <w:b w:val="0"/>
          <w:bCs/>
          <w:kern w:val="0"/>
          <w:sz w:val="32"/>
          <w:szCs w:val="32"/>
          <w:lang w:val="en-US" w:eastAsia="zh-CN"/>
        </w:rPr>
        <w:t>结合“新时代文明实践”进基层工作要求，开展丰富多彩的群众文化活动；以群众需求为主，打造群众满意的文化活动场所。</w:t>
      </w:r>
    </w:p>
    <w:p>
      <w:pPr>
        <w:widowControl/>
        <w:spacing w:line="600" w:lineRule="exact"/>
        <w:ind w:firstLine="640"/>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p>
      <w:pPr>
        <w:pStyle w:val="2"/>
        <w:rPr>
          <w:rFonts w:hint="eastAsia" w:ascii="仿宋_GB2312" w:hAnsi="仿宋_GB2312" w:eastAsia="仿宋_GB2312" w:cs="仿宋_GB2312"/>
          <w:kern w:val="0"/>
          <w:sz w:val="32"/>
          <w:szCs w:val="30"/>
        </w:rPr>
      </w:pPr>
    </w:p>
    <w:tbl>
      <w:tblPr>
        <w:tblStyle w:val="6"/>
        <w:tblW w:w="10335" w:type="dxa"/>
        <w:tblInd w:w="93" w:type="dxa"/>
        <w:shd w:val="clear" w:color="auto" w:fill="auto"/>
        <w:tblLayout w:type="autofit"/>
        <w:tblCellMar>
          <w:top w:w="0" w:type="dxa"/>
          <w:left w:w="108" w:type="dxa"/>
          <w:bottom w:w="0" w:type="dxa"/>
          <w:right w:w="108" w:type="dxa"/>
        </w:tblCellMar>
      </w:tblPr>
      <w:tblGrid>
        <w:gridCol w:w="705"/>
        <w:gridCol w:w="621"/>
        <w:gridCol w:w="324"/>
        <w:gridCol w:w="1079"/>
        <w:gridCol w:w="899"/>
        <w:gridCol w:w="1425"/>
        <w:gridCol w:w="1289"/>
        <w:gridCol w:w="15"/>
        <w:gridCol w:w="1259"/>
        <w:gridCol w:w="60"/>
        <w:gridCol w:w="286"/>
        <w:gridCol w:w="60"/>
        <w:gridCol w:w="256"/>
        <w:gridCol w:w="60"/>
        <w:gridCol w:w="256"/>
        <w:gridCol w:w="60"/>
        <w:gridCol w:w="226"/>
        <w:gridCol w:w="60"/>
        <w:gridCol w:w="555"/>
        <w:gridCol w:w="120"/>
        <w:gridCol w:w="629"/>
        <w:gridCol w:w="91"/>
      </w:tblGrid>
      <w:tr>
        <w:tblPrEx>
          <w:shd w:val="clear" w:color="auto" w:fill="auto"/>
          <w:tblCellMar>
            <w:top w:w="0" w:type="dxa"/>
            <w:left w:w="108" w:type="dxa"/>
            <w:bottom w:w="0" w:type="dxa"/>
            <w:right w:w="108" w:type="dxa"/>
          </w:tblCellMar>
        </w:tblPrEx>
        <w:trPr>
          <w:trHeight w:val="390" w:hRule="atLeast"/>
        </w:trPr>
        <w:tc>
          <w:tcPr>
            <w:tcW w:w="10335"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shd w:val="clear" w:color="auto" w:fill="auto"/>
          <w:tblCellMar>
            <w:top w:w="0" w:type="dxa"/>
            <w:left w:w="108" w:type="dxa"/>
            <w:bottom w:w="0" w:type="dxa"/>
            <w:right w:w="108" w:type="dxa"/>
          </w:tblCellMar>
        </w:tblPrEx>
        <w:trPr>
          <w:trHeight w:val="330" w:hRule="atLeast"/>
        </w:trPr>
        <w:tc>
          <w:tcPr>
            <w:tcW w:w="10335"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r>
      <w:tr>
        <w:tblPrEx>
          <w:shd w:val="clear" w:color="auto" w:fill="auto"/>
          <w:tblCellMar>
            <w:top w:w="0" w:type="dxa"/>
            <w:left w:w="108" w:type="dxa"/>
            <w:bottom w:w="0" w:type="dxa"/>
            <w:right w:w="108" w:type="dxa"/>
          </w:tblCellMar>
        </w:tblPrEx>
        <w:trPr>
          <w:trHeight w:val="360" w:hRule="atLeast"/>
        </w:trPr>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900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免费开放</w:t>
            </w:r>
          </w:p>
        </w:tc>
      </w:tr>
      <w:tr>
        <w:tblPrEx>
          <w:shd w:val="clear" w:color="auto" w:fill="auto"/>
          <w:tblCellMar>
            <w:top w:w="0" w:type="dxa"/>
            <w:left w:w="108" w:type="dxa"/>
            <w:bottom w:w="0" w:type="dxa"/>
            <w:right w:w="108" w:type="dxa"/>
          </w:tblCellMar>
        </w:tblPrEx>
        <w:trPr>
          <w:trHeight w:val="360" w:hRule="atLeast"/>
        </w:trPr>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50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西湖区文化广电新闻出版旅游局</w:t>
            </w:r>
          </w:p>
        </w:tc>
        <w:tc>
          <w:tcPr>
            <w:tcW w:w="1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31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西湖区文化馆</w:t>
            </w:r>
          </w:p>
        </w:tc>
      </w:tr>
      <w:tr>
        <w:tblPrEx>
          <w:shd w:val="clear" w:color="auto" w:fill="auto"/>
          <w:tblCellMar>
            <w:top w:w="0" w:type="dxa"/>
            <w:left w:w="108" w:type="dxa"/>
            <w:bottom w:w="0" w:type="dxa"/>
            <w:right w:w="108" w:type="dxa"/>
          </w:tblCellMar>
        </w:tblPrEx>
        <w:trPr>
          <w:trHeight w:val="360" w:hRule="atLeast"/>
        </w:trPr>
        <w:tc>
          <w:tcPr>
            <w:tcW w:w="13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2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shd w:val="clear" w:color="auto" w:fill="auto"/>
          <w:tblCellMar>
            <w:top w:w="0" w:type="dxa"/>
            <w:left w:w="108" w:type="dxa"/>
            <w:bottom w:w="0" w:type="dxa"/>
            <w:right w:w="108" w:type="dxa"/>
          </w:tblCellMar>
        </w:tblPrEx>
        <w:trPr>
          <w:trHeight w:val="360" w:hRule="atLeast"/>
        </w:trPr>
        <w:tc>
          <w:tcPr>
            <w:tcW w:w="13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8.50 </w:t>
            </w:r>
          </w:p>
        </w:tc>
        <w:tc>
          <w:tcPr>
            <w:tcW w:w="1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8.50 </w:t>
            </w:r>
          </w:p>
        </w:tc>
        <w:tc>
          <w:tcPr>
            <w:tcW w:w="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shd w:val="clear" w:color="auto" w:fill="auto"/>
          <w:tblCellMar>
            <w:top w:w="0" w:type="dxa"/>
            <w:left w:w="108" w:type="dxa"/>
            <w:bottom w:w="0" w:type="dxa"/>
            <w:right w:w="108" w:type="dxa"/>
          </w:tblCellMar>
        </w:tblPrEx>
        <w:trPr>
          <w:trHeight w:val="360" w:hRule="atLeast"/>
        </w:trPr>
        <w:tc>
          <w:tcPr>
            <w:tcW w:w="13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8.50 </w:t>
            </w:r>
          </w:p>
        </w:tc>
        <w:tc>
          <w:tcPr>
            <w:tcW w:w="1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8.50 </w:t>
            </w:r>
          </w:p>
        </w:tc>
        <w:tc>
          <w:tcPr>
            <w:tcW w:w="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60" w:hRule="atLeast"/>
        </w:trPr>
        <w:tc>
          <w:tcPr>
            <w:tcW w:w="13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60" w:hRule="atLeast"/>
        </w:trPr>
        <w:tc>
          <w:tcPr>
            <w:tcW w:w="13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6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总体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w:t>
            </w:r>
          </w:p>
        </w:tc>
        <w:tc>
          <w:tcPr>
            <w:tcW w:w="563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993"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shd w:val="clear" w:color="auto" w:fill="auto"/>
          <w:tblCellMar>
            <w:top w:w="0" w:type="dxa"/>
            <w:left w:w="108" w:type="dxa"/>
            <w:bottom w:w="0" w:type="dxa"/>
            <w:right w:w="108" w:type="dxa"/>
          </w:tblCellMar>
        </w:tblPrEx>
        <w:trPr>
          <w:trHeight w:val="84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1、建立公共文化课程总分馆配送机制；                                   2、打造社区文化示范点</w:t>
            </w:r>
          </w:p>
        </w:tc>
        <w:tc>
          <w:tcPr>
            <w:tcW w:w="3993"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1、建立街道文化分馆                                              2、指导社区文化活动示范点</w:t>
            </w:r>
          </w:p>
        </w:tc>
      </w:tr>
      <w:tr>
        <w:tblPrEx>
          <w:shd w:val="clear" w:color="auto" w:fill="auto"/>
          <w:tblCellMar>
            <w:top w:w="0" w:type="dxa"/>
            <w:left w:w="108" w:type="dxa"/>
            <w:bottom w:w="0" w:type="dxa"/>
            <w:right w:w="108" w:type="dxa"/>
          </w:tblCellMar>
        </w:tblPrEx>
        <w:trPr>
          <w:trHeight w:val="38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3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33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66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60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3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shd w:val="clear" w:color="auto" w:fill="auto"/>
          <w:tblCellMar>
            <w:top w:w="0" w:type="dxa"/>
            <w:left w:w="108" w:type="dxa"/>
            <w:bottom w:w="0" w:type="dxa"/>
            <w:right w:w="108" w:type="dxa"/>
          </w:tblCellMar>
        </w:tblPrEx>
        <w:trPr>
          <w:trHeight w:val="4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4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403"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举办公益性培训的课时</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450课时</w:t>
            </w:r>
          </w:p>
        </w:tc>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450课时</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4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每周开馆时间</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56小时</w:t>
            </w:r>
          </w:p>
        </w:tc>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56小时</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6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3"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免费提供公益服务的项目执行率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6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场馆免费预约使用次数</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次 </w:t>
            </w:r>
          </w:p>
        </w:tc>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次 </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71"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场馆计划 举办活动、展览完成率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23"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项目支出金额控制在预算范围内</w:t>
            </w:r>
          </w:p>
        </w:tc>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66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新增开展活动群众参与人数</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1万人</w:t>
            </w:r>
          </w:p>
        </w:tc>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1万人</w:t>
            </w:r>
          </w:p>
        </w:tc>
        <w:tc>
          <w:tcPr>
            <w:tcW w:w="66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暑期少儿培训新增受益人数</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300人</w:t>
            </w:r>
          </w:p>
        </w:tc>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300人</w:t>
            </w:r>
          </w:p>
        </w:tc>
        <w:tc>
          <w:tcPr>
            <w:tcW w:w="66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01"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p>
        </w:tc>
        <w:tc>
          <w:tcPr>
            <w:tcW w:w="232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新增公益活动社区覆盖点</w:t>
            </w:r>
          </w:p>
        </w:tc>
        <w:tc>
          <w:tcPr>
            <w:tcW w:w="12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12个</w:t>
            </w:r>
          </w:p>
        </w:tc>
        <w:tc>
          <w:tcPr>
            <w:tcW w:w="1334"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12个</w:t>
            </w:r>
          </w:p>
        </w:tc>
        <w:tc>
          <w:tcPr>
            <w:tcW w:w="66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95" w:type="dxa"/>
            <w:gridSpan w:val="4"/>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79"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32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举办公益性培训的持续性</w:t>
            </w:r>
          </w:p>
        </w:tc>
        <w:tc>
          <w:tcPr>
            <w:tcW w:w="12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影响可持续</w:t>
            </w:r>
          </w:p>
        </w:tc>
        <w:tc>
          <w:tcPr>
            <w:tcW w:w="1334"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影响可持续</w:t>
            </w:r>
          </w:p>
        </w:tc>
        <w:tc>
          <w:tcPr>
            <w:tcW w:w="66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95" w:type="dxa"/>
            <w:gridSpan w:val="4"/>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08"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2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群众满意率(%)</w:t>
            </w:r>
          </w:p>
        </w:tc>
        <w:tc>
          <w:tcPr>
            <w:tcW w:w="12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34"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66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95" w:type="dxa"/>
            <w:gridSpan w:val="4"/>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20" w:hRule="atLeast"/>
        </w:trPr>
        <w:tc>
          <w:tcPr>
            <w:tcW w:w="767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总分</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gridAfter w:val="1"/>
          <w:wAfter w:w="90" w:type="dxa"/>
          <w:trHeight w:val="390" w:hRule="atLeast"/>
        </w:trPr>
        <w:tc>
          <w:tcPr>
            <w:tcW w:w="1024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shd w:val="clear" w:color="auto" w:fill="auto"/>
          <w:tblCellMar>
            <w:top w:w="0" w:type="dxa"/>
            <w:left w:w="108" w:type="dxa"/>
            <w:bottom w:w="0" w:type="dxa"/>
            <w:right w:w="108" w:type="dxa"/>
          </w:tblCellMar>
        </w:tblPrEx>
        <w:trPr>
          <w:gridAfter w:val="1"/>
          <w:wAfter w:w="90" w:type="dxa"/>
          <w:trHeight w:val="330" w:hRule="atLeast"/>
        </w:trPr>
        <w:tc>
          <w:tcPr>
            <w:tcW w:w="10245" w:type="dxa"/>
            <w:gridSpan w:val="2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r>
      <w:tr>
        <w:tblPrEx>
          <w:shd w:val="clear" w:color="auto" w:fill="auto"/>
          <w:tblCellMar>
            <w:top w:w="0" w:type="dxa"/>
            <w:left w:w="108" w:type="dxa"/>
            <w:bottom w:w="0" w:type="dxa"/>
            <w:right w:w="108" w:type="dxa"/>
          </w:tblCellMar>
        </w:tblPrEx>
        <w:trPr>
          <w:gridAfter w:val="1"/>
          <w:wAfter w:w="90" w:type="dxa"/>
          <w:trHeight w:val="36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859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文化发展基金</w:t>
            </w:r>
          </w:p>
        </w:tc>
      </w:tr>
      <w:tr>
        <w:tblPrEx>
          <w:shd w:val="clear" w:color="auto" w:fill="auto"/>
          <w:tblCellMar>
            <w:top w:w="0" w:type="dxa"/>
            <w:left w:w="108" w:type="dxa"/>
            <w:bottom w:w="0" w:type="dxa"/>
            <w:right w:w="108" w:type="dxa"/>
          </w:tblCellMar>
        </w:tblPrEx>
        <w:trPr>
          <w:gridAfter w:val="1"/>
          <w:wAfter w:w="90" w:type="dxa"/>
          <w:trHeight w:val="360" w:hRule="atLeast"/>
        </w:trPr>
        <w:tc>
          <w:tcPr>
            <w:tcW w:w="1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7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西湖区文化广电新闻出版旅游局</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2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西湖区文化馆</w:t>
            </w:r>
          </w:p>
        </w:tc>
      </w:tr>
      <w:tr>
        <w:tblPrEx>
          <w:shd w:val="clear" w:color="auto" w:fill="auto"/>
          <w:tblCellMar>
            <w:top w:w="0" w:type="dxa"/>
            <w:left w:w="108" w:type="dxa"/>
            <w:bottom w:w="0" w:type="dxa"/>
            <w:right w:w="108" w:type="dxa"/>
          </w:tblCellMar>
        </w:tblPrEx>
        <w:trPr>
          <w:gridAfter w:val="1"/>
          <w:wAfter w:w="90" w:type="dxa"/>
          <w:trHeight w:val="360" w:hRule="atLeast"/>
        </w:trPr>
        <w:tc>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3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shd w:val="clear" w:color="auto" w:fill="auto"/>
          <w:tblCellMar>
            <w:top w:w="0" w:type="dxa"/>
            <w:left w:w="108" w:type="dxa"/>
            <w:bottom w:w="0" w:type="dxa"/>
            <w:right w:w="108" w:type="dxa"/>
          </w:tblCellMar>
        </w:tblPrEx>
        <w:trPr>
          <w:gridAfter w:val="1"/>
          <w:wAfter w:w="90" w:type="dxa"/>
          <w:trHeight w:val="360" w:hRule="atLeast"/>
        </w:trPr>
        <w:tc>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 </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 </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 </w:t>
            </w:r>
          </w:p>
        </w:tc>
        <w:tc>
          <w:tcPr>
            <w:tcW w:w="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shd w:val="clear" w:color="auto" w:fill="auto"/>
          <w:tblCellMar>
            <w:top w:w="0" w:type="dxa"/>
            <w:left w:w="108" w:type="dxa"/>
            <w:bottom w:w="0" w:type="dxa"/>
            <w:right w:w="108" w:type="dxa"/>
          </w:tblCellMar>
        </w:tblPrEx>
        <w:trPr>
          <w:gridAfter w:val="1"/>
          <w:wAfter w:w="90" w:type="dxa"/>
          <w:trHeight w:val="360" w:hRule="atLeast"/>
        </w:trPr>
        <w:tc>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 </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 </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 </w:t>
            </w:r>
          </w:p>
        </w:tc>
        <w:tc>
          <w:tcPr>
            <w:tcW w:w="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gridAfter w:val="1"/>
          <w:wAfter w:w="90" w:type="dxa"/>
          <w:trHeight w:val="360" w:hRule="atLeast"/>
        </w:trPr>
        <w:tc>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gridAfter w:val="1"/>
          <w:wAfter w:w="90" w:type="dxa"/>
          <w:trHeight w:val="360" w:hRule="atLeast"/>
        </w:trPr>
        <w:tc>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gridAfter w:val="1"/>
          <w:wAfter w:w="90" w:type="dxa"/>
          <w:trHeight w:val="420" w:hRule="atLeast"/>
        </w:trPr>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总体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w:t>
            </w:r>
          </w:p>
        </w:tc>
        <w:tc>
          <w:tcPr>
            <w:tcW w:w="56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887"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shd w:val="clear" w:color="auto" w:fill="auto"/>
          <w:tblCellMar>
            <w:top w:w="0" w:type="dxa"/>
            <w:left w:w="108" w:type="dxa"/>
            <w:bottom w:w="0" w:type="dxa"/>
            <w:right w:w="108" w:type="dxa"/>
          </w:tblCellMar>
        </w:tblPrEx>
        <w:trPr>
          <w:gridAfter w:val="1"/>
          <w:wAfter w:w="90" w:type="dxa"/>
          <w:trHeight w:val="84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1、围绕节庆主题，开展群演活动；                                              2、创作文艺精品，筹划大型赛事</w:t>
            </w:r>
          </w:p>
        </w:tc>
        <w:tc>
          <w:tcPr>
            <w:tcW w:w="3887"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1、举办4场群演                                                   2、创作2项疫情作品</w:t>
            </w:r>
          </w:p>
        </w:tc>
      </w:tr>
      <w:tr>
        <w:tblPrEx>
          <w:shd w:val="clear" w:color="auto" w:fill="auto"/>
          <w:tblCellMar>
            <w:top w:w="0" w:type="dxa"/>
            <w:left w:w="108" w:type="dxa"/>
            <w:bottom w:w="0" w:type="dxa"/>
            <w:right w:w="108" w:type="dxa"/>
          </w:tblCellMar>
        </w:tblPrEx>
        <w:trPr>
          <w:gridAfter w:val="1"/>
          <w:wAfter w:w="90" w:type="dxa"/>
          <w:trHeight w:val="259" w:hRule="atLeast"/>
        </w:trPr>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9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3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66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60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36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shd w:val="clear" w:color="auto" w:fill="auto"/>
          <w:tblCellMar>
            <w:top w:w="0" w:type="dxa"/>
            <w:left w:w="108" w:type="dxa"/>
            <w:bottom w:w="0" w:type="dxa"/>
            <w:right w:w="108" w:type="dxa"/>
          </w:tblCellMar>
        </w:tblPrEx>
        <w:trPr>
          <w:gridAfter w:val="1"/>
          <w:wAfter w:w="90" w:type="dxa"/>
          <w:trHeight w:val="259"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gridAfter w:val="1"/>
          <w:wAfter w:w="90" w:type="dxa"/>
          <w:trHeight w:val="98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举办文化活动场次</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15场（次）</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15场（次）</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gridAfter w:val="1"/>
          <w:wAfter w:w="90" w:type="dxa"/>
          <w:trHeight w:val="56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举办4场群演活动</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4场次</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4场次</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gridAfter w:val="1"/>
          <w:wAfter w:w="90" w:type="dxa"/>
          <w:trHeight w:val="56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文化活动成功率</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gridAfter w:val="1"/>
          <w:wAfter w:w="90" w:type="dxa"/>
          <w:trHeight w:val="94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文化活动举办及时率</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gridAfter w:val="1"/>
          <w:wAfter w:w="90" w:type="dxa"/>
          <w:trHeight w:val="90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项目实际支出金额均控制在预算范围内</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gridAfter w:val="1"/>
          <w:wAfter w:w="90" w:type="dxa"/>
          <w:trHeight w:val="94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新增开展活动群众参与人数</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1万人</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1万人</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gridAfter w:val="1"/>
          <w:wAfter w:w="90" w:type="dxa"/>
          <w:trHeight w:val="82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丰富群众文化生活</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有所提升</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gridAfter w:val="1"/>
          <w:wAfter w:w="90" w:type="dxa"/>
          <w:trHeight w:val="100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举办活动的连续性</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效果显著</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效果显著</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64" w:type="dxa"/>
            <w:gridSpan w:val="4"/>
            <w:tcBorders>
              <w:top w:val="single" w:color="000000" w:sz="4" w:space="0"/>
              <w:left w:val="nil"/>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90" w:type="dxa"/>
          <w:trHeight w:val="56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2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130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5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662" w:type="dxa"/>
            <w:gridSpan w:val="4"/>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2" w:type="dxa"/>
            <w:gridSpan w:val="4"/>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64" w:type="dxa"/>
            <w:gridSpan w:val="4"/>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90" w:type="dxa"/>
          <w:trHeight w:val="280" w:hRule="atLeast"/>
        </w:trPr>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2"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2"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4"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90" w:type="dxa"/>
          <w:trHeight w:val="420" w:hRule="atLeast"/>
        </w:trPr>
        <w:tc>
          <w:tcPr>
            <w:tcW w:w="761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总分</w:t>
            </w:r>
          </w:p>
        </w:tc>
        <w:tc>
          <w:tcPr>
            <w:tcW w:w="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w:t>
            </w:r>
          </w:p>
        </w:tc>
        <w:tc>
          <w:tcPr>
            <w:tcW w:w="1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bl>
    <w:p>
      <w:pPr>
        <w:pStyle w:val="2"/>
        <w:ind w:firstLine="640"/>
        <w:rPr>
          <w:rFonts w:hint="eastAsia"/>
        </w:rPr>
      </w:pPr>
    </w:p>
    <w:p>
      <w:pPr>
        <w:spacing w:beforeLines="100" w:afterLines="100"/>
        <w:jc w:val="center"/>
        <w:rPr>
          <w:rFonts w:hint="eastAsia" w:ascii="黑体" w:hAnsi="黑体" w:eastAsia="黑体"/>
          <w:bCs/>
          <w:sz w:val="32"/>
          <w:szCs w:val="32"/>
        </w:rPr>
      </w:pPr>
      <w:r>
        <w:rPr>
          <w:rFonts w:hint="eastAsia" w:ascii="黑体" w:hAnsi="黑体" w:eastAsia="黑体"/>
          <w:bCs/>
          <w:sz w:val="32"/>
          <w:szCs w:val="32"/>
        </w:rPr>
        <w:t>第四部分  名词解释</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_GB2312" w:hAnsi="仿宋_GB2312" w:eastAsia="仿宋_GB2312"/>
          <w:kern w:val="0"/>
          <w:sz w:val="32"/>
          <w:szCs w:val="30"/>
        </w:rPr>
        <w:t xml:space="preserve">    </w:t>
      </w:r>
      <w:r>
        <w:rPr>
          <w:rFonts w:hint="eastAsia" w:ascii="仿宋" w:hAnsi="仿宋" w:eastAsia="仿宋" w:cs="仿宋_GB2312"/>
          <w:kern w:val="0"/>
          <w:sz w:val="32"/>
          <w:szCs w:val="32"/>
        </w:rPr>
        <w:t>一、收入科目</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（一）财政拨款：指省级财政当年拨付的资金。</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（二）事业收入：指事业单位开展专业业务活动及辅助活动取得的收入。</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（三）事业单位经营收入：指事业单位在专业业务活动及辅助活动之外开展非独立核算经营活动取得的收入。</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（四）其他收入：指除财政拨款、事业收入、事业单位经营收入等以外的各项收入。</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（六）上级补助收入：反映事业单位从主管部门和上级单位取得的非财政补助收入。</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（七）用事业基金弥补收支差额：填列事业单位用事业基金弥补2017年收支差额的数额。</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（八）上年结转和结余：填列2016年全部结转和结余的资金数，包括当年结转结余资金和历年滚存结转结余资金。</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二、支出科目</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1、一般公共服务支出（类）财政事务（款）行政运行（项）：反映各级财政行政单位（包括实行公务员管理的事业单位）的基本支出。</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2、一般公共服务支出（类）财政事务（款）一般行政管理事务（项）：反映各级财政行政单位（包括实行公务员管理的事业单位）未单独设置项级科目的其他项目支出。</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3、一般公共服务支出（类）财政事务（款）财政国库业务（项）：反映财政部门用于财政国库集中收付业务方面的支出。</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4、一般公共服务支出（类）财政事务（款）事业运行（项）：反映财政事业单位的基本支出。</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5、一般公共服务支出（类）财政事务（款）其他财政事务支出（项）：反映财政事业单位其他财政事务方面的支出。</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6、社会保障和就业支出（类）行政单位离退休（款）未归口管理的行政单位离退休（项）：反映未实行归口管理的行政单位（包括实行公务员管理的事业单位）开支的离退休经费。</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7、社会保障和就业支出（类）行政单位离退休（款）机关事业单位基本养老保险缴费支出（项）：反映机关事业单位实施养老保险制度由单位缴纳的基本养老保险费支出。</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8、社会保障和就业支出（类）行政单位离退休（款）机关事业单位职业年金缴费支出（项）：反映机关事业单位实施养老保险制度由单位实际缴纳的职业年金支出。</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9、农林水支出（类）水利（款）其他水利支出（项）：反映除其他用于水利方面的支出。</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10、住房保障支出（类）住房改革支出（款）住房公积金（项）：反映行政事业单位按人力资源和社会保障部、财政部规定的基本工资和津补贴以及规定比例为职工缴纳的住房公积金。</w:t>
      </w:r>
    </w:p>
    <w:p>
      <w:pPr>
        <w:widowControl/>
        <w:spacing w:line="540" w:lineRule="exact"/>
        <w:ind w:firstLine="800" w:firstLineChars="250"/>
        <w:jc w:val="left"/>
        <w:rPr>
          <w:rFonts w:hint="eastAsia" w:ascii="仿宋" w:hAnsi="仿宋" w:eastAsia="仿宋" w:cs="仿宋_GB2312"/>
          <w:kern w:val="0"/>
          <w:sz w:val="32"/>
          <w:szCs w:val="32"/>
        </w:rPr>
      </w:pPr>
      <w:r>
        <w:rPr>
          <w:rFonts w:hint="eastAsia" w:ascii="仿宋" w:hAnsi="仿宋" w:eastAsia="仿宋" w:cs="仿宋_GB2312"/>
          <w:kern w:val="0"/>
          <w:sz w:val="32"/>
          <w:szCs w:val="32"/>
        </w:rPr>
        <w:t>11、住房保障支出（类）住房改革支出（款）购房补贴（项）：反映按房改政策规定，行政事业单位向符合条件职工（含离退休人员）、军队（含武警）向转役复员离退休人员发放的用于购买住房的补贴。</w:t>
      </w:r>
    </w:p>
    <w:p>
      <w:pPr>
        <w:widowControl/>
        <w:spacing w:line="580" w:lineRule="exact"/>
        <w:ind w:firstLine="600"/>
        <w:jc w:val="left"/>
        <w:rPr>
          <w:rFonts w:hint="eastAsia" w:ascii="仿宋" w:hAnsi="仿宋" w:eastAsia="仿宋"/>
          <w:kern w:val="0"/>
          <w:sz w:val="30"/>
          <w:szCs w:val="30"/>
        </w:rPr>
      </w:pPr>
    </w:p>
    <w:p/>
    <w:sectPr>
      <w:footerReference r:id="rId3" w:type="default"/>
      <w:pgSz w:w="11906" w:h="16838"/>
      <w:pgMar w:top="1440" w:right="1417" w:bottom="1440"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between w:val="none" w:color="auto" w:sz="0" w:space="0"/>
      </w:pBdr>
    </w:pPr>
    <w:r>
      <w:rPr>
        <w:rFonts w:hint="eastAsia" w:ascii="宋体" w:hAnsi="宋体"/>
        <w:sz w:val="28"/>
      </w:rPr>
      <w:fldChar w:fldCharType="begin"/>
    </w:r>
    <w:r>
      <w:rPr>
        <w:rStyle w:val="8"/>
        <w:rFonts w:hint="eastAsia" w:ascii="宋体" w:hAnsi="宋体"/>
        <w:sz w:val="28"/>
      </w:rPr>
      <w:instrText xml:space="preserve"> PAGE  </w:instrText>
    </w:r>
    <w:r>
      <w:rPr>
        <w:rFonts w:hint="eastAsia" w:ascii="宋体" w:hAnsi="宋体"/>
        <w:sz w:val="28"/>
      </w:rPr>
      <w:fldChar w:fldCharType="separate"/>
    </w:r>
    <w:r>
      <w:rPr>
        <w:rStyle w:val="8"/>
        <w:rFonts w:ascii="宋体" w:hAnsi="宋体"/>
        <w:sz w:val="28"/>
      </w:rPr>
      <w:t>- 18 -</w:t>
    </w:r>
    <w:r>
      <w:rPr>
        <w:rFonts w:hint="eastAsia" w:ascii="宋体" w:hAnsi="宋体"/>
        <w:sz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3AC8A"/>
    <w:multiLevelType w:val="singleLevel"/>
    <w:tmpl w:val="CF13AC8A"/>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ZDc1OTRmYjE4ZWMyNjY5ZTA0ZWM4ZWI0MDg5MWEifQ=="/>
  </w:docVars>
  <w:rsids>
    <w:rsidRoot w:val="00AD1A4B"/>
    <w:rsid w:val="00AD1A4B"/>
    <w:rsid w:val="21124310"/>
    <w:rsid w:val="37C834B8"/>
    <w:rsid w:val="4FE53EE6"/>
    <w:rsid w:val="53925EE1"/>
    <w:rsid w:val="5B511894"/>
    <w:rsid w:val="6E38306E"/>
    <w:rsid w:val="74725EC4"/>
    <w:rsid w:val="7AFE0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99"/>
    <w:rPr>
      <w:b/>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正文文本 Char"/>
    <w:basedOn w:val="7"/>
    <w:link w:val="2"/>
    <w:qFormat/>
    <w:uiPriority w:val="99"/>
    <w:rPr>
      <w:rFonts w:ascii="Times New Roman" w:hAnsi="Times New Roman" w:eastAsia="宋体" w:cs="Times New Roman"/>
      <w:b/>
      <w:szCs w:val="20"/>
    </w:rPr>
  </w:style>
  <w:style w:type="paragraph" w:customStyle="1" w:styleId="1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4848</Words>
  <Characters>5339</Characters>
  <Lines>33</Lines>
  <Paragraphs>9</Paragraphs>
  <TotalTime>2</TotalTime>
  <ScaleCrop>false</ScaleCrop>
  <LinksUpToDate>false</LinksUpToDate>
  <CharactersWithSpaces>5720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2021-08-17T05:52:00Z</dcterms:created>
  <dc:creator>PC</dc:creator>
  <cp:lastModifiedBy>小明</cp:lastModifiedBy>
  <dcterms:modified xsi:type="dcterms:W3CDTF">2022-05-15T02:55:22Z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B77D7EC4B3534803B047D89196EBD0E1</vt:lpwstr>
  </property>
</Properties>
</file>